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tblPr>
      <w:tblGrid>
        <w:gridCol w:w="2254"/>
        <w:gridCol w:w="6746"/>
      </w:tblGrid>
      <w:tr w:rsidR="0037320D">
        <w:trPr>
          <w:tblCellSpacing w:w="60" w:type="dxa"/>
        </w:trPr>
        <w:tc>
          <w:tcPr>
            <w:tcW w:w="1200" w:type="pct"/>
            <w:shd w:val="clear" w:color="auto" w:fill="E7F0F9"/>
          </w:tcPr>
          <w:p w:rsidR="0037320D" w:rsidRDefault="00536345">
            <w:pPr>
              <w:spacing w:after="0" w:line="240" w:lineRule="auto"/>
            </w:pPr>
            <w:r>
              <w:rPr>
                <w:b/>
              </w:rPr>
              <w:t>RKP broj</w:t>
            </w:r>
          </w:p>
        </w:tc>
        <w:tc>
          <w:tcPr>
            <w:tcW w:w="0" w:type="auto"/>
            <w:shd w:val="clear" w:color="auto" w:fill="E7F0F9"/>
          </w:tcPr>
          <w:p w:rsidR="0037320D" w:rsidRDefault="00536345">
            <w:pPr>
              <w:spacing w:after="0" w:line="240" w:lineRule="auto"/>
            </w:pPr>
            <w:r>
              <w:t>25780</w:t>
            </w:r>
          </w:p>
        </w:tc>
      </w:tr>
      <w:tr w:rsidR="0037320D">
        <w:trPr>
          <w:tblCellSpacing w:w="60" w:type="dxa"/>
        </w:trPr>
        <w:tc>
          <w:tcPr>
            <w:tcW w:w="1200" w:type="pct"/>
            <w:shd w:val="clear" w:color="auto" w:fill="E7F0F9"/>
          </w:tcPr>
          <w:p w:rsidR="0037320D" w:rsidRDefault="00536345">
            <w:pPr>
              <w:spacing w:after="0" w:line="240" w:lineRule="auto"/>
            </w:pPr>
            <w:r>
              <w:rPr>
                <w:b/>
              </w:rPr>
              <w:t>Naziv obveznika</w:t>
            </w:r>
          </w:p>
        </w:tc>
        <w:tc>
          <w:tcPr>
            <w:tcW w:w="0" w:type="auto"/>
            <w:shd w:val="clear" w:color="auto" w:fill="E7F0F9"/>
          </w:tcPr>
          <w:p w:rsidR="0037320D" w:rsidRDefault="00536345">
            <w:pPr>
              <w:spacing w:after="0" w:line="240" w:lineRule="auto"/>
            </w:pPr>
            <w:r>
              <w:t>SPECIJALNA BOLNICA ZA ZAŠTITU DJECE S NEURORAZVOJNIM I MOTORIČKIM SMETNJAMA</w:t>
            </w:r>
          </w:p>
        </w:tc>
      </w:tr>
      <w:tr w:rsidR="0037320D">
        <w:trPr>
          <w:tblCellSpacing w:w="60" w:type="dxa"/>
        </w:trPr>
        <w:tc>
          <w:tcPr>
            <w:tcW w:w="1200" w:type="pct"/>
            <w:shd w:val="clear" w:color="auto" w:fill="E7F0F9"/>
          </w:tcPr>
          <w:p w:rsidR="0037320D" w:rsidRDefault="00536345">
            <w:pPr>
              <w:spacing w:after="0" w:line="240" w:lineRule="auto"/>
            </w:pPr>
            <w:r>
              <w:rPr>
                <w:b/>
              </w:rPr>
              <w:t>Razina</w:t>
            </w:r>
          </w:p>
        </w:tc>
        <w:tc>
          <w:tcPr>
            <w:tcW w:w="0" w:type="auto"/>
            <w:shd w:val="clear" w:color="auto" w:fill="E7F0F9"/>
          </w:tcPr>
          <w:p w:rsidR="0037320D" w:rsidRDefault="00536345">
            <w:pPr>
              <w:spacing w:after="0" w:line="240" w:lineRule="auto"/>
            </w:pPr>
            <w:r>
              <w:t>31</w:t>
            </w:r>
          </w:p>
        </w:tc>
      </w:tr>
    </w:tbl>
    <w:p w:rsidR="0037320D" w:rsidRDefault="00536345">
      <w:r>
        <w:br/>
      </w:r>
    </w:p>
    <w:p w:rsidR="0037320D" w:rsidRDefault="00536345">
      <w:pPr>
        <w:spacing w:line="240" w:lineRule="auto"/>
        <w:jc w:val="center"/>
      </w:pPr>
      <w:r>
        <w:rPr>
          <w:b/>
          <w:sz w:val="28"/>
        </w:rPr>
        <w:t>BILJEŠKE UZ FINANCIJSKE IZVJEŠTAJE</w:t>
      </w:r>
    </w:p>
    <w:p w:rsidR="0037320D" w:rsidRDefault="00536345">
      <w:pPr>
        <w:spacing w:line="240" w:lineRule="auto"/>
        <w:jc w:val="center"/>
      </w:pPr>
      <w:r>
        <w:rPr>
          <w:b/>
          <w:sz w:val="28"/>
        </w:rPr>
        <w:t>ZA RAZDOBLJE</w:t>
      </w:r>
    </w:p>
    <w:p w:rsidR="0037320D" w:rsidRDefault="00536345">
      <w:pPr>
        <w:spacing w:line="240" w:lineRule="auto"/>
        <w:jc w:val="center"/>
      </w:pPr>
      <w:r>
        <w:rPr>
          <w:b/>
          <w:sz w:val="28"/>
        </w:rPr>
        <w:t>I - XII 2025.</w:t>
      </w:r>
    </w:p>
    <w:p w:rsidR="0037320D" w:rsidRDefault="0037320D"/>
    <w:p w:rsidR="0037320D" w:rsidRDefault="00536345">
      <w:pPr>
        <w:keepNext/>
        <w:spacing w:line="240" w:lineRule="auto"/>
        <w:jc w:val="center"/>
      </w:pPr>
      <w:r>
        <w:rPr>
          <w:b/>
          <w:sz w:val="28"/>
        </w:rPr>
        <w:t>Izvještaj o prihodima i rashodima, primicima i izdacima</w:t>
      </w:r>
    </w:p>
    <w:p w:rsidR="0037320D" w:rsidRDefault="0053634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w:t>
            </w:r>
          </w:p>
        </w:tc>
        <w:tc>
          <w:tcPr>
            <w:tcW w:w="3180" w:type="dxa"/>
            <w:tcMar>
              <w:top w:w="0" w:type="dxa"/>
              <w:bottom w:w="0" w:type="dxa"/>
            </w:tcMar>
            <w:vAlign w:val="center"/>
          </w:tcPr>
          <w:p w:rsidR="0037320D" w:rsidRDefault="00536345">
            <w:pPr>
              <w:keepNext/>
              <w:keepLines/>
              <w:spacing w:after="0" w:line="240" w:lineRule="auto"/>
            </w:pPr>
            <w:r>
              <w:rPr>
                <w:sz w:val="18"/>
              </w:rPr>
              <w:t>PRIHODI POSLOVANJA (šifre 61+62+63+64+65+66+67+68)</w:t>
            </w:r>
          </w:p>
        </w:tc>
        <w:tc>
          <w:tcPr>
            <w:tcW w:w="700" w:type="dxa"/>
            <w:tcMar>
              <w:top w:w="0" w:type="dxa"/>
              <w:bottom w:w="0" w:type="dxa"/>
            </w:tcMar>
            <w:vAlign w:val="center"/>
          </w:tcPr>
          <w:p w:rsidR="0037320D" w:rsidRDefault="00536345">
            <w:pPr>
              <w:keepNext/>
              <w:keepLines/>
              <w:spacing w:after="0" w:line="240" w:lineRule="auto"/>
            </w:pPr>
            <w:r>
              <w:rPr>
                <w:sz w:val="18"/>
              </w:rPr>
              <w:t>6</w:t>
            </w:r>
          </w:p>
        </w:tc>
        <w:tc>
          <w:tcPr>
            <w:tcW w:w="1860" w:type="dxa"/>
            <w:tcMar>
              <w:top w:w="0" w:type="dxa"/>
              <w:bottom w:w="0" w:type="dxa"/>
            </w:tcMar>
            <w:vAlign w:val="center"/>
          </w:tcPr>
          <w:p w:rsidR="0037320D" w:rsidRDefault="00536345">
            <w:pPr>
              <w:keepNext/>
              <w:keepLines/>
              <w:spacing w:after="0" w:line="240" w:lineRule="auto"/>
              <w:jc w:val="right"/>
            </w:pPr>
            <w:r>
              <w:rPr>
                <w:sz w:val="18"/>
              </w:rPr>
              <w:t>7.519.099,62</w:t>
            </w:r>
          </w:p>
        </w:tc>
        <w:tc>
          <w:tcPr>
            <w:tcW w:w="1860" w:type="dxa"/>
            <w:tcMar>
              <w:top w:w="0" w:type="dxa"/>
              <w:bottom w:w="0" w:type="dxa"/>
            </w:tcMar>
            <w:vAlign w:val="center"/>
          </w:tcPr>
          <w:p w:rsidR="0037320D" w:rsidRDefault="00536345">
            <w:pPr>
              <w:keepNext/>
              <w:keepLines/>
              <w:spacing w:after="0" w:line="240" w:lineRule="auto"/>
              <w:jc w:val="right"/>
            </w:pPr>
            <w:r>
              <w:rPr>
                <w:sz w:val="18"/>
              </w:rPr>
              <w:t>7.576.889,24</w:t>
            </w:r>
          </w:p>
        </w:tc>
        <w:tc>
          <w:tcPr>
            <w:tcW w:w="700" w:type="dxa"/>
            <w:tcMar>
              <w:top w:w="0" w:type="dxa"/>
              <w:bottom w:w="0" w:type="dxa"/>
            </w:tcMar>
            <w:vAlign w:val="center"/>
          </w:tcPr>
          <w:p w:rsidR="0037320D" w:rsidRDefault="00536345">
            <w:pPr>
              <w:keepNext/>
              <w:keepLines/>
              <w:spacing w:after="0" w:line="240" w:lineRule="auto"/>
              <w:jc w:val="right"/>
            </w:pPr>
            <w:r>
              <w:rPr>
                <w:sz w:val="18"/>
              </w:rPr>
              <w:t>100,8</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3</w:t>
            </w:r>
          </w:p>
        </w:tc>
        <w:tc>
          <w:tcPr>
            <w:tcW w:w="3180" w:type="dxa"/>
            <w:tcMar>
              <w:top w:w="0" w:type="dxa"/>
              <w:bottom w:w="0" w:type="dxa"/>
            </w:tcMar>
            <w:vAlign w:val="center"/>
          </w:tcPr>
          <w:p w:rsidR="0037320D" w:rsidRDefault="00536345">
            <w:pPr>
              <w:keepNext/>
              <w:keepLines/>
              <w:spacing w:after="0" w:line="240" w:lineRule="auto"/>
            </w:pPr>
            <w:r>
              <w:rPr>
                <w:sz w:val="18"/>
              </w:rPr>
              <w:t xml:space="preserve">RASHODI </w:t>
            </w:r>
            <w:r>
              <w:rPr>
                <w:sz w:val="18"/>
              </w:rPr>
              <w:t>POSLOVANJA (šifre 31+32+34+35+36+37+38)</w:t>
            </w:r>
          </w:p>
        </w:tc>
        <w:tc>
          <w:tcPr>
            <w:tcW w:w="700" w:type="dxa"/>
            <w:tcMar>
              <w:top w:w="0" w:type="dxa"/>
              <w:bottom w:w="0" w:type="dxa"/>
            </w:tcMar>
            <w:vAlign w:val="center"/>
          </w:tcPr>
          <w:p w:rsidR="0037320D" w:rsidRDefault="00536345">
            <w:pPr>
              <w:keepNext/>
              <w:keepLines/>
              <w:spacing w:after="0" w:line="240" w:lineRule="auto"/>
            </w:pPr>
            <w:r>
              <w:rPr>
                <w:sz w:val="18"/>
              </w:rPr>
              <w:t>3</w:t>
            </w:r>
          </w:p>
        </w:tc>
        <w:tc>
          <w:tcPr>
            <w:tcW w:w="1860" w:type="dxa"/>
            <w:tcMar>
              <w:top w:w="0" w:type="dxa"/>
              <w:bottom w:w="0" w:type="dxa"/>
            </w:tcMar>
            <w:vAlign w:val="center"/>
          </w:tcPr>
          <w:p w:rsidR="0037320D" w:rsidRDefault="00536345">
            <w:pPr>
              <w:keepNext/>
              <w:keepLines/>
              <w:spacing w:after="0" w:line="240" w:lineRule="auto"/>
              <w:jc w:val="right"/>
            </w:pPr>
            <w:r>
              <w:rPr>
                <w:sz w:val="18"/>
              </w:rPr>
              <w:t>7.465.495,47</w:t>
            </w:r>
          </w:p>
        </w:tc>
        <w:tc>
          <w:tcPr>
            <w:tcW w:w="1860" w:type="dxa"/>
            <w:tcMar>
              <w:top w:w="0" w:type="dxa"/>
              <w:bottom w:w="0" w:type="dxa"/>
            </w:tcMar>
            <w:vAlign w:val="center"/>
          </w:tcPr>
          <w:p w:rsidR="0037320D" w:rsidRDefault="00536345">
            <w:pPr>
              <w:keepNext/>
              <w:keepLines/>
              <w:spacing w:after="0" w:line="240" w:lineRule="auto"/>
              <w:jc w:val="right"/>
            </w:pPr>
            <w:r>
              <w:rPr>
                <w:sz w:val="18"/>
              </w:rPr>
              <w:t>8.151.314,52</w:t>
            </w:r>
          </w:p>
        </w:tc>
        <w:tc>
          <w:tcPr>
            <w:tcW w:w="700" w:type="dxa"/>
            <w:tcMar>
              <w:top w:w="0" w:type="dxa"/>
              <w:bottom w:w="0" w:type="dxa"/>
            </w:tcMar>
            <w:vAlign w:val="center"/>
          </w:tcPr>
          <w:p w:rsidR="0037320D" w:rsidRDefault="00536345">
            <w:pPr>
              <w:keepNext/>
              <w:keepLines/>
              <w:spacing w:after="0" w:line="240" w:lineRule="auto"/>
              <w:jc w:val="right"/>
            </w:pPr>
            <w:r>
              <w:rPr>
                <w:sz w:val="18"/>
              </w:rPr>
              <w:t>109,2</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b/>
                <w:sz w:val="18"/>
              </w:rPr>
              <w:t>MANJAK PRIHODA POSLOVANJA (šifre Z005-6)</w:t>
            </w:r>
          </w:p>
        </w:tc>
        <w:tc>
          <w:tcPr>
            <w:tcW w:w="700" w:type="dxa"/>
            <w:tcMar>
              <w:top w:w="0" w:type="dxa"/>
              <w:bottom w:w="0" w:type="dxa"/>
            </w:tcMar>
            <w:vAlign w:val="center"/>
          </w:tcPr>
          <w:p w:rsidR="0037320D" w:rsidRDefault="00536345">
            <w:pPr>
              <w:keepNext/>
              <w:keepLines/>
              <w:spacing w:after="0" w:line="240" w:lineRule="auto"/>
            </w:pPr>
            <w:r>
              <w:rPr>
                <w:b/>
                <w:sz w:val="18"/>
              </w:rPr>
              <w:t>Y001</w:t>
            </w:r>
          </w:p>
        </w:tc>
        <w:tc>
          <w:tcPr>
            <w:tcW w:w="1860" w:type="dxa"/>
            <w:tcMar>
              <w:top w:w="0" w:type="dxa"/>
              <w:bottom w:w="0" w:type="dxa"/>
            </w:tcMar>
            <w:vAlign w:val="center"/>
          </w:tcPr>
          <w:p w:rsidR="0037320D" w:rsidRDefault="00536345">
            <w:pPr>
              <w:keepNext/>
              <w:keepLines/>
              <w:spacing w:after="0" w:line="240" w:lineRule="auto"/>
              <w:jc w:val="right"/>
            </w:pPr>
            <w:r>
              <w:rPr>
                <w:b/>
                <w:sz w:val="18"/>
              </w:rPr>
              <w:t>0,00</w:t>
            </w:r>
          </w:p>
        </w:tc>
        <w:tc>
          <w:tcPr>
            <w:tcW w:w="1860" w:type="dxa"/>
            <w:tcMar>
              <w:top w:w="0" w:type="dxa"/>
              <w:bottom w:w="0" w:type="dxa"/>
            </w:tcMar>
            <w:vAlign w:val="center"/>
          </w:tcPr>
          <w:p w:rsidR="0037320D" w:rsidRDefault="00536345">
            <w:pPr>
              <w:keepNext/>
              <w:keepLines/>
              <w:spacing w:after="0" w:line="240" w:lineRule="auto"/>
              <w:jc w:val="right"/>
            </w:pPr>
            <w:r>
              <w:rPr>
                <w:b/>
                <w:sz w:val="18"/>
              </w:rPr>
              <w:t>574.425,28</w:t>
            </w:r>
          </w:p>
        </w:tc>
        <w:tc>
          <w:tcPr>
            <w:tcW w:w="700" w:type="dxa"/>
            <w:tcMar>
              <w:top w:w="0" w:type="dxa"/>
              <w:bottom w:w="0" w:type="dxa"/>
            </w:tcMar>
            <w:vAlign w:val="center"/>
          </w:tcPr>
          <w:p w:rsidR="0037320D" w:rsidRDefault="00536345">
            <w:pPr>
              <w:keepNext/>
              <w:keepLines/>
              <w:spacing w:after="0" w:line="240" w:lineRule="auto"/>
              <w:jc w:val="right"/>
            </w:pPr>
            <w:r>
              <w:rPr>
                <w:b/>
                <w:sz w:val="18"/>
              </w:rPr>
              <w:t>-</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7</w:t>
            </w:r>
          </w:p>
        </w:tc>
        <w:tc>
          <w:tcPr>
            <w:tcW w:w="3180" w:type="dxa"/>
            <w:tcMar>
              <w:top w:w="0" w:type="dxa"/>
              <w:bottom w:w="0" w:type="dxa"/>
            </w:tcMar>
            <w:vAlign w:val="center"/>
          </w:tcPr>
          <w:p w:rsidR="0037320D" w:rsidRDefault="0053634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37320D" w:rsidRDefault="00536345">
            <w:pPr>
              <w:keepNext/>
              <w:keepLines/>
              <w:spacing w:after="0" w:line="240" w:lineRule="auto"/>
            </w:pPr>
            <w:r>
              <w:rPr>
                <w:sz w:val="18"/>
              </w:rPr>
              <w:t>7</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4</w:t>
            </w:r>
          </w:p>
        </w:tc>
        <w:tc>
          <w:tcPr>
            <w:tcW w:w="3180" w:type="dxa"/>
            <w:tcMar>
              <w:top w:w="0" w:type="dxa"/>
              <w:bottom w:w="0" w:type="dxa"/>
            </w:tcMar>
            <w:vAlign w:val="center"/>
          </w:tcPr>
          <w:p w:rsidR="0037320D" w:rsidRDefault="00536345">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rsidR="0037320D" w:rsidRDefault="00536345">
            <w:pPr>
              <w:keepNext/>
              <w:keepLines/>
              <w:spacing w:after="0" w:line="240" w:lineRule="auto"/>
            </w:pPr>
            <w:r>
              <w:rPr>
                <w:sz w:val="18"/>
              </w:rPr>
              <w:t>4</w:t>
            </w:r>
          </w:p>
        </w:tc>
        <w:tc>
          <w:tcPr>
            <w:tcW w:w="1860" w:type="dxa"/>
            <w:tcMar>
              <w:top w:w="0" w:type="dxa"/>
              <w:bottom w:w="0" w:type="dxa"/>
            </w:tcMar>
            <w:vAlign w:val="center"/>
          </w:tcPr>
          <w:p w:rsidR="0037320D" w:rsidRDefault="00536345">
            <w:pPr>
              <w:keepNext/>
              <w:keepLines/>
              <w:spacing w:after="0" w:line="240" w:lineRule="auto"/>
              <w:jc w:val="right"/>
            </w:pPr>
            <w:r>
              <w:rPr>
                <w:sz w:val="18"/>
              </w:rPr>
              <w:t>699.245,40</w:t>
            </w:r>
          </w:p>
        </w:tc>
        <w:tc>
          <w:tcPr>
            <w:tcW w:w="1860" w:type="dxa"/>
            <w:tcMar>
              <w:top w:w="0" w:type="dxa"/>
              <w:bottom w:w="0" w:type="dxa"/>
            </w:tcMar>
            <w:vAlign w:val="center"/>
          </w:tcPr>
          <w:p w:rsidR="0037320D" w:rsidRDefault="00536345">
            <w:pPr>
              <w:keepNext/>
              <w:keepLines/>
              <w:spacing w:after="0" w:line="240" w:lineRule="auto"/>
              <w:jc w:val="right"/>
            </w:pPr>
            <w:r>
              <w:rPr>
                <w:sz w:val="18"/>
              </w:rPr>
              <w:t>159.525,01</w:t>
            </w:r>
          </w:p>
        </w:tc>
        <w:tc>
          <w:tcPr>
            <w:tcW w:w="700" w:type="dxa"/>
            <w:tcMar>
              <w:top w:w="0" w:type="dxa"/>
              <w:bottom w:w="0" w:type="dxa"/>
            </w:tcMar>
            <w:vAlign w:val="center"/>
          </w:tcPr>
          <w:p w:rsidR="0037320D" w:rsidRDefault="00536345">
            <w:pPr>
              <w:keepNext/>
              <w:keepLines/>
              <w:spacing w:after="0" w:line="240" w:lineRule="auto"/>
              <w:jc w:val="right"/>
            </w:pPr>
            <w:r>
              <w:rPr>
                <w:sz w:val="18"/>
              </w:rPr>
              <w:t>22,8</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37320D" w:rsidRDefault="00536345">
            <w:pPr>
              <w:keepNext/>
              <w:keepLines/>
              <w:spacing w:after="0" w:line="240" w:lineRule="auto"/>
            </w:pPr>
            <w:r>
              <w:rPr>
                <w:b/>
                <w:sz w:val="18"/>
              </w:rPr>
              <w:t>Y002</w:t>
            </w:r>
          </w:p>
        </w:tc>
        <w:tc>
          <w:tcPr>
            <w:tcW w:w="1860" w:type="dxa"/>
            <w:tcMar>
              <w:top w:w="0" w:type="dxa"/>
              <w:bottom w:w="0" w:type="dxa"/>
            </w:tcMar>
            <w:vAlign w:val="center"/>
          </w:tcPr>
          <w:p w:rsidR="0037320D" w:rsidRDefault="00536345">
            <w:pPr>
              <w:keepNext/>
              <w:keepLines/>
              <w:spacing w:after="0" w:line="240" w:lineRule="auto"/>
              <w:jc w:val="right"/>
            </w:pPr>
            <w:r>
              <w:rPr>
                <w:b/>
                <w:sz w:val="18"/>
              </w:rPr>
              <w:t>699.245,40</w:t>
            </w:r>
          </w:p>
        </w:tc>
        <w:tc>
          <w:tcPr>
            <w:tcW w:w="1860" w:type="dxa"/>
            <w:tcMar>
              <w:top w:w="0" w:type="dxa"/>
              <w:bottom w:w="0" w:type="dxa"/>
            </w:tcMar>
            <w:vAlign w:val="center"/>
          </w:tcPr>
          <w:p w:rsidR="0037320D" w:rsidRDefault="00536345">
            <w:pPr>
              <w:keepNext/>
              <w:keepLines/>
              <w:spacing w:after="0" w:line="240" w:lineRule="auto"/>
              <w:jc w:val="right"/>
            </w:pPr>
            <w:r>
              <w:rPr>
                <w:b/>
                <w:sz w:val="18"/>
              </w:rPr>
              <w:t>159.525,01</w:t>
            </w:r>
          </w:p>
        </w:tc>
        <w:tc>
          <w:tcPr>
            <w:tcW w:w="700" w:type="dxa"/>
            <w:tcMar>
              <w:top w:w="0" w:type="dxa"/>
              <w:bottom w:w="0" w:type="dxa"/>
            </w:tcMar>
            <w:vAlign w:val="center"/>
          </w:tcPr>
          <w:p w:rsidR="0037320D" w:rsidRDefault="00536345">
            <w:pPr>
              <w:keepNext/>
              <w:keepLines/>
              <w:spacing w:after="0" w:line="240" w:lineRule="auto"/>
              <w:jc w:val="right"/>
            </w:pPr>
            <w:r>
              <w:rPr>
                <w:b/>
                <w:sz w:val="18"/>
              </w:rPr>
              <w:t>22,8</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8</w:t>
            </w:r>
          </w:p>
        </w:tc>
        <w:tc>
          <w:tcPr>
            <w:tcW w:w="3180" w:type="dxa"/>
            <w:tcMar>
              <w:top w:w="0" w:type="dxa"/>
              <w:bottom w:w="0" w:type="dxa"/>
            </w:tcMar>
            <w:vAlign w:val="center"/>
          </w:tcPr>
          <w:p w:rsidR="0037320D" w:rsidRDefault="0053634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37320D" w:rsidRDefault="00536345">
            <w:pPr>
              <w:keepNext/>
              <w:keepLines/>
              <w:spacing w:after="0" w:line="240" w:lineRule="auto"/>
            </w:pPr>
            <w:r>
              <w:rPr>
                <w:sz w:val="18"/>
              </w:rPr>
              <w:t>8</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5</w:t>
            </w:r>
          </w:p>
        </w:tc>
        <w:tc>
          <w:tcPr>
            <w:tcW w:w="3180" w:type="dxa"/>
            <w:tcMar>
              <w:top w:w="0" w:type="dxa"/>
              <w:bottom w:w="0" w:type="dxa"/>
            </w:tcMar>
            <w:vAlign w:val="center"/>
          </w:tcPr>
          <w:p w:rsidR="0037320D" w:rsidRDefault="00536345">
            <w:pPr>
              <w:keepNext/>
              <w:keepLines/>
              <w:spacing w:after="0" w:line="240" w:lineRule="auto"/>
            </w:pPr>
            <w:r>
              <w:rPr>
                <w:sz w:val="18"/>
              </w:rPr>
              <w:t xml:space="preserve">Izdaci za financijsku </w:t>
            </w:r>
            <w:r>
              <w:rPr>
                <w:sz w:val="18"/>
              </w:rPr>
              <w:t>imovinu i otplate zajmova (šifre 51+52+53+54+55)</w:t>
            </w:r>
          </w:p>
        </w:tc>
        <w:tc>
          <w:tcPr>
            <w:tcW w:w="700" w:type="dxa"/>
            <w:tcMar>
              <w:top w:w="0" w:type="dxa"/>
              <w:bottom w:w="0" w:type="dxa"/>
            </w:tcMar>
            <w:vAlign w:val="center"/>
          </w:tcPr>
          <w:p w:rsidR="0037320D" w:rsidRDefault="00536345">
            <w:pPr>
              <w:keepNext/>
              <w:keepLines/>
              <w:spacing w:after="0" w:line="240" w:lineRule="auto"/>
            </w:pPr>
            <w:r>
              <w:rPr>
                <w:sz w:val="18"/>
              </w:rPr>
              <w:t>5</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37320D" w:rsidRDefault="00536345">
            <w:pPr>
              <w:keepNext/>
              <w:keepLines/>
              <w:spacing w:after="0" w:line="240" w:lineRule="auto"/>
            </w:pPr>
            <w:r>
              <w:rPr>
                <w:b/>
                <w:sz w:val="18"/>
              </w:rPr>
              <w:t>X003, Y003</w:t>
            </w:r>
          </w:p>
        </w:tc>
        <w:tc>
          <w:tcPr>
            <w:tcW w:w="1860" w:type="dxa"/>
            <w:tcMar>
              <w:top w:w="0" w:type="dxa"/>
              <w:bottom w:w="0" w:type="dxa"/>
            </w:tcMar>
            <w:vAlign w:val="center"/>
          </w:tcPr>
          <w:p w:rsidR="0037320D" w:rsidRDefault="00536345">
            <w:pPr>
              <w:keepNext/>
              <w:keepLines/>
              <w:spacing w:after="0" w:line="240" w:lineRule="auto"/>
              <w:jc w:val="right"/>
            </w:pPr>
            <w:r>
              <w:rPr>
                <w:b/>
                <w:sz w:val="18"/>
              </w:rPr>
              <w:t>0,00</w:t>
            </w:r>
          </w:p>
        </w:tc>
        <w:tc>
          <w:tcPr>
            <w:tcW w:w="1860" w:type="dxa"/>
            <w:tcMar>
              <w:top w:w="0" w:type="dxa"/>
              <w:bottom w:w="0" w:type="dxa"/>
            </w:tcMar>
            <w:vAlign w:val="center"/>
          </w:tcPr>
          <w:p w:rsidR="0037320D" w:rsidRDefault="00536345">
            <w:pPr>
              <w:keepNext/>
              <w:keepLines/>
              <w:spacing w:after="0" w:line="240" w:lineRule="auto"/>
              <w:jc w:val="right"/>
            </w:pPr>
            <w:r>
              <w:rPr>
                <w:b/>
                <w:sz w:val="18"/>
              </w:rPr>
              <w:t>0,00</w:t>
            </w:r>
          </w:p>
        </w:tc>
        <w:tc>
          <w:tcPr>
            <w:tcW w:w="700" w:type="dxa"/>
            <w:tcMar>
              <w:top w:w="0" w:type="dxa"/>
              <w:bottom w:w="0" w:type="dxa"/>
            </w:tcMar>
            <w:vAlign w:val="center"/>
          </w:tcPr>
          <w:p w:rsidR="0037320D" w:rsidRDefault="00536345">
            <w:pPr>
              <w:keepNext/>
              <w:keepLines/>
              <w:spacing w:after="0" w:line="240" w:lineRule="auto"/>
              <w:jc w:val="right"/>
            </w:pPr>
            <w:r>
              <w:rPr>
                <w:b/>
                <w:sz w:val="18"/>
              </w:rPr>
              <w:t>-</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b/>
                <w:sz w:val="18"/>
              </w:rPr>
              <w:t>MANJAK PRIHODA I PRIMITAKA (šifre Y345-X678)</w:t>
            </w:r>
          </w:p>
        </w:tc>
        <w:tc>
          <w:tcPr>
            <w:tcW w:w="700" w:type="dxa"/>
            <w:tcMar>
              <w:top w:w="0" w:type="dxa"/>
              <w:bottom w:w="0" w:type="dxa"/>
            </w:tcMar>
            <w:vAlign w:val="center"/>
          </w:tcPr>
          <w:p w:rsidR="0037320D" w:rsidRDefault="00536345">
            <w:pPr>
              <w:keepNext/>
              <w:keepLines/>
              <w:spacing w:after="0" w:line="240" w:lineRule="auto"/>
            </w:pPr>
            <w:r>
              <w:rPr>
                <w:b/>
                <w:sz w:val="18"/>
              </w:rPr>
              <w:t>Y005</w:t>
            </w:r>
          </w:p>
        </w:tc>
        <w:tc>
          <w:tcPr>
            <w:tcW w:w="1860" w:type="dxa"/>
            <w:tcMar>
              <w:top w:w="0" w:type="dxa"/>
              <w:bottom w:w="0" w:type="dxa"/>
            </w:tcMar>
            <w:vAlign w:val="center"/>
          </w:tcPr>
          <w:p w:rsidR="0037320D" w:rsidRDefault="00536345">
            <w:pPr>
              <w:keepNext/>
              <w:keepLines/>
              <w:spacing w:after="0" w:line="240" w:lineRule="auto"/>
              <w:jc w:val="right"/>
            </w:pPr>
            <w:r>
              <w:rPr>
                <w:b/>
                <w:sz w:val="18"/>
              </w:rPr>
              <w:t>645.641,25</w:t>
            </w:r>
          </w:p>
        </w:tc>
        <w:tc>
          <w:tcPr>
            <w:tcW w:w="1860" w:type="dxa"/>
            <w:tcMar>
              <w:top w:w="0" w:type="dxa"/>
              <w:bottom w:w="0" w:type="dxa"/>
            </w:tcMar>
            <w:vAlign w:val="center"/>
          </w:tcPr>
          <w:p w:rsidR="0037320D" w:rsidRDefault="00536345">
            <w:pPr>
              <w:keepNext/>
              <w:keepLines/>
              <w:spacing w:after="0" w:line="240" w:lineRule="auto"/>
              <w:jc w:val="right"/>
            </w:pPr>
            <w:r>
              <w:rPr>
                <w:b/>
                <w:sz w:val="18"/>
              </w:rPr>
              <w:t>733.950,29</w:t>
            </w:r>
          </w:p>
        </w:tc>
        <w:tc>
          <w:tcPr>
            <w:tcW w:w="700" w:type="dxa"/>
            <w:tcMar>
              <w:top w:w="0" w:type="dxa"/>
              <w:bottom w:w="0" w:type="dxa"/>
            </w:tcMar>
            <w:vAlign w:val="center"/>
          </w:tcPr>
          <w:p w:rsidR="0037320D" w:rsidRDefault="00536345">
            <w:pPr>
              <w:keepNext/>
              <w:keepLines/>
              <w:spacing w:after="0" w:line="240" w:lineRule="auto"/>
              <w:jc w:val="right"/>
            </w:pPr>
            <w:r>
              <w:rPr>
                <w:b/>
                <w:sz w:val="18"/>
              </w:rPr>
              <w:t>113,7</w:t>
            </w:r>
          </w:p>
        </w:tc>
      </w:tr>
    </w:tbl>
    <w:p w:rsidR="0037320D" w:rsidRDefault="0037320D">
      <w:pPr>
        <w:spacing w:after="0"/>
      </w:pPr>
    </w:p>
    <w:p w:rsidR="0037320D" w:rsidRDefault="00536345" w:rsidP="00877171">
      <w:pPr>
        <w:jc w:val="both"/>
      </w:pPr>
      <w:r>
        <w:t>Specijalna bolnica za zaštitu djece s neurorazvojnim i motoričkim smetnjama je zdravstvena ustanova kojoj je osnivač Grad Zagreb. Bolnica je osnovana Odlukom NRH Ministarstva socijalne politike Broj: VII-2-1946. od 28. lipnja 1946. godine,  kao «Zavod za d</w:t>
      </w:r>
      <w:r>
        <w:t xml:space="preserve">jecu invalide,  sa svrhom primanja djece invalida kojima će se u Zavodu pružati potrebna liječnička pomoć i njega“. Narodni odbor Grada Zagreba 1960. godine, donio je odluku po kojoj Zavod nastavlja </w:t>
      </w:r>
      <w:r>
        <w:lastRenderedPageBreak/>
        <w:t>radom isključivo kao zdravstvena ustanova. Rješenjem Us-4</w:t>
      </w:r>
      <w:r>
        <w:t>90/76 od 30.12.1976. Bolnica za tuberkulozu pluća i plućne bolesti Zagreb, Zelengaj 37 i 37/1, pripojenjem ulazi u sastav Zavoda za rehabilitaciju djece oboljele od cerebralne paralize, Zagreb, Goljak 2. Bolnica danas radi na četiri lokacije: Goljak 2 i Ze</w:t>
      </w:r>
      <w:r>
        <w:t>lengaj 37, a na lokacijama Banjavčićeva 16 i Zavrtnica 28-30 pruža usluge dnevne bolnice Odjela djece školske dobi polaznicima Centra za odgoj i obrazovanje „Goljak“. Na Goljaku 2 je smještena polikliničko-konzilijarna zaštita i Dnevne bolnice, a na Zeleng</w:t>
      </w:r>
      <w:r>
        <w:t>aju bolnički Odjel dojenčadi i male djece, bolnički Odjel majka-dijete, Dnevna bolnica majka-dijete i Dnevna bolnica za robotsku terapiju. Bolnica obavlja zdravstvenu djelatnost sukladno Zakonu o zdravstvenoj zaštiti.  </w:t>
      </w:r>
    </w:p>
    <w:p w:rsidR="0037320D" w:rsidRDefault="00536345" w:rsidP="00877171">
      <w:pPr>
        <w:jc w:val="both"/>
      </w:pPr>
      <w:r>
        <w:t xml:space="preserve">Specijalna bolnica za zaštitu djece </w:t>
      </w:r>
      <w:r>
        <w:t>s neurorazvojnim i motoričkim smetnjama javna je ustanova koja pruža bolničku zdravstvenu zaštitu iz djelatnosti fizikalne medicine i rehabilitacije i djelatnosti pedijatrije (pedijatrijske neurologije), dnevno-bolničku opskrbu u okviru ambulantnog liječen</w:t>
      </w:r>
      <w:r>
        <w:t>ja iz djelatnosti fizikalne medicine i rehabilitacije i djelatnosti pedijatrije (pedijatrijske neurologije) i specijalističko – konzilijarnu zdravstvenu zaštitu iz djelatnosti fizikalne medicine i rehabilitacije i djelatnosti pedijatrije (pedijatrijske neu</w:t>
      </w:r>
      <w:r>
        <w:t>rologije).</w:t>
      </w:r>
    </w:p>
    <w:p w:rsidR="0037320D" w:rsidRDefault="00536345" w:rsidP="00877171">
      <w:pPr>
        <w:jc w:val="both"/>
      </w:pPr>
      <w:r>
        <w:t>Broj ugovorenih postelja je 64, a broj ugovorenih mjesta dnevne bolnice je 174. Ukupno su zaposlena 232 radnika. S Hrvatskim zavodom za zdravstveno osiguranje ima ugovoreno obavljanje bolničke i specijalističko-konzilijarne zdravstvene zaštite.</w:t>
      </w:r>
    </w:p>
    <w:p w:rsidR="0037320D" w:rsidRDefault="00536345" w:rsidP="00877171">
      <w:pPr>
        <w:jc w:val="both"/>
      </w:pPr>
      <w:r>
        <w:t>Specijalna bolnica za zaštitu djece s neurorazvojnim i motoričkim smetnjama za razdoblje siječanj – prosinac 2025. godine na propisanim obrascima izradila je sljedeće financijske izvještaje:</w:t>
      </w:r>
    </w:p>
    <w:p w:rsidR="0037320D" w:rsidRDefault="00536345">
      <w:pPr>
        <w:pStyle w:val="Odlomakpopisa"/>
        <w:numPr>
          <w:ilvl w:val="0"/>
          <w:numId w:val="1"/>
        </w:numPr>
      </w:pPr>
      <w:r>
        <w:t>Izvještaj o prihodima i rashodima, primicima i izdacima – Obrazac</w:t>
      </w:r>
      <w:r>
        <w:t xml:space="preserve"> PR-RAS</w:t>
      </w:r>
    </w:p>
    <w:p w:rsidR="0037320D" w:rsidRDefault="00536345">
      <w:pPr>
        <w:pStyle w:val="Odlomakpopisa"/>
        <w:numPr>
          <w:ilvl w:val="0"/>
          <w:numId w:val="1"/>
        </w:numPr>
      </w:pPr>
      <w:r>
        <w:t>Bilancu – Obrazac BIL</w:t>
      </w:r>
    </w:p>
    <w:p w:rsidR="0037320D" w:rsidRDefault="00536345">
      <w:pPr>
        <w:pStyle w:val="Odlomakpopisa"/>
        <w:numPr>
          <w:ilvl w:val="0"/>
          <w:numId w:val="1"/>
        </w:numPr>
      </w:pPr>
      <w:r>
        <w:t>Izvještaj o rashodima prema funkcijskoj klasifikaciji – Obrazac RAS - funkcijski</w:t>
      </w:r>
    </w:p>
    <w:p w:rsidR="0037320D" w:rsidRDefault="00536345">
      <w:pPr>
        <w:pStyle w:val="Odlomakpopisa"/>
        <w:numPr>
          <w:ilvl w:val="0"/>
          <w:numId w:val="1"/>
        </w:numPr>
      </w:pPr>
      <w:r>
        <w:t>Izvještaj o obvezama – Obrazac OBVEZE</w:t>
      </w:r>
    </w:p>
    <w:p w:rsidR="0037320D" w:rsidRDefault="00536345">
      <w:pPr>
        <w:pStyle w:val="Odlomakpopisa"/>
        <w:numPr>
          <w:ilvl w:val="0"/>
          <w:numId w:val="1"/>
        </w:numPr>
      </w:pPr>
      <w:r>
        <w:t>Izvještaj o promjenama u vrijednosti i obujmu imovine i obveza – Obrazac P-VRIO</w:t>
      </w:r>
    </w:p>
    <w:p w:rsidR="0037320D" w:rsidRDefault="00536345">
      <w:pPr>
        <w:pStyle w:val="Odlomakpopisa"/>
        <w:numPr>
          <w:ilvl w:val="0"/>
          <w:numId w:val="1"/>
        </w:numPr>
      </w:pPr>
      <w:r>
        <w:t>Bilješke</w:t>
      </w:r>
    </w:p>
    <w:p w:rsidR="00F07D15" w:rsidRDefault="00F07D15" w:rsidP="00877171">
      <w:pPr>
        <w:jc w:val="both"/>
      </w:pPr>
    </w:p>
    <w:p w:rsidR="0037320D" w:rsidRDefault="00536345" w:rsidP="00877171">
      <w:pPr>
        <w:jc w:val="both"/>
      </w:pPr>
      <w:r>
        <w:t>Financijske izvje</w:t>
      </w:r>
      <w:r>
        <w:t>štaje Specijalne bolnice za zaštitu djece s neurorazvojnim i motoričkim smetnjama potpisuje i odgovara za njihovu predaju: Dr. sc. Ivana Kern, dr. med., specijalist fizikalne medicine i rehabilitacije, ravnateljica  </w:t>
      </w:r>
    </w:p>
    <w:p w:rsidR="0037320D" w:rsidRDefault="00536345" w:rsidP="00877171">
      <w:pPr>
        <w:jc w:val="both"/>
      </w:pPr>
      <w:r>
        <w:t>Odgovorna osoba za sastavljanje financi</w:t>
      </w:r>
      <w:r>
        <w:t>jskih izvještaja: Arijana Kanjuh, dipl. oec., rukovoditeljica Službe za financijske i računovodstvene poslove</w:t>
      </w:r>
    </w:p>
    <w:p w:rsidR="0037320D" w:rsidRDefault="00536345" w:rsidP="00877171">
      <w:pPr>
        <w:jc w:val="both"/>
      </w:pPr>
      <w:r>
        <w:t xml:space="preserve">Uredbom o nazivima radnih mjesta, uvjetima za raspored i koeficijentima za obračun plaće u javnim službama („Narodne novine“ broj 22/24) došlo je </w:t>
      </w:r>
      <w:r>
        <w:t>do značajnog povećanja obima materijalnih prava radnika. HZZO nije na odgovarajući način pratio povećanje materijalnih prava te su primanja od HZZO-a, na godišnjoj razini bila manja od ukupnog troška za zaposlene. Nadalje, povećanja cijene energenata i pot</w:t>
      </w:r>
      <w:r>
        <w:t xml:space="preserve">rošnog medicinskog materijala kao i ostalih materijalnih troškova uslijed inflatornih kretanja, dodatno otežavaju financijsko </w:t>
      </w:r>
      <w:r>
        <w:lastRenderedPageBreak/>
        <w:t>poslovanje ustanove, te sredstva dobivena od Hrvatskog zavoda za zdravstveno osiguranje, nisu ni približno dostatna za redovno pos</w:t>
      </w:r>
      <w:r>
        <w:t>lovanje.</w:t>
      </w:r>
    </w:p>
    <w:p w:rsidR="0037320D" w:rsidRDefault="00536345" w:rsidP="00877171">
      <w:pPr>
        <w:jc w:val="both"/>
      </w:pPr>
      <w:r>
        <w:t xml:space="preserve">Slijedom navedenog u razdoblju od 1. siječnja do 31. prosinca 2025. godine ostvareni su ukupni prihodi u iznosu od 7.576.889,24 EUR, dok su ukupni rashodi ostvareni u iznosu od 8.310.839,53 EUR, što čini manjak prihoda i primitaka nad rashodima u </w:t>
      </w:r>
      <w:r>
        <w:t>iznosu od 733.950,29 EUR.</w:t>
      </w:r>
    </w:p>
    <w:p w:rsidR="0037320D" w:rsidRDefault="00536345" w:rsidP="00877171">
      <w:pPr>
        <w:jc w:val="both"/>
      </w:pPr>
      <w:r>
        <w:t>Bolnica kontinuirano posluje s manjkom prihoda i primitaka koji se prenosi u sljedeća razdoblja. Preneseni manjak prihoda i primitaka iznosi 2.212.478,97 EUR, odnosno manjak prihoda i primitaka za pokriće u sljedećem razdoblju izn</w:t>
      </w:r>
      <w:r>
        <w:t>osi 2.946.429,26 EUR. Ovaj manjak će se u 2026. godini pokušati djelomično pokriti većim izvršenjem usluga ugovorenih sa HZZO-om, odnosno sa ugovorenim limitom što u 2025. godini nije ostvareno.</w:t>
      </w:r>
    </w:p>
    <w:p w:rsidR="0037320D" w:rsidRDefault="00536345" w:rsidP="00877171">
      <w:pPr>
        <w:jc w:val="both"/>
      </w:pPr>
      <w:r>
        <w:t xml:space="preserve">U 2025. godini je napravljena korekcija rezultata poslovanja </w:t>
      </w:r>
      <w:r>
        <w:t>za 2024. godinu koji je na 31.12.2024. godine iznosio 2.123.381,51 EUR i to:</w:t>
      </w:r>
    </w:p>
    <w:p w:rsidR="0037320D" w:rsidRDefault="00536345" w:rsidP="00877171">
      <w:pPr>
        <w:jc w:val="both"/>
      </w:pPr>
      <w:r>
        <w:t>Temeljem Ugovora o dodjeli potpore za pripravništvo u javnim službama i kontrolom  dostavljene dokumentacije Hrvatskom zavodu za zapošljavanje, utvrđeno je bolovanje na teret HZZO</w:t>
      </w:r>
      <w:r>
        <w:t>-a tijekom listopada 2024. godine, kao i tijekom siječnja, ožujka, svibnja i srpnja 2025. godine za jednu pripravnicu. Budući da se radni odnos nije produžio za razdoblje provedeno na teret HZZO-a, prema članku 7. Ugovora Bolnica je obvezna izvršiti povrat</w:t>
      </w:r>
      <w:r>
        <w:t xml:space="preserve"> neiskorištenog dijela unaprijed isplaćenih financijskih sredstava u iznosu od 1.617,50 EUR. Također je temeljem Ugovora potrebno izvršiti povrat neiskorištenog dijela sredstava za trošak prijevoza za dvije pripravnice u iznosu od 1.001,61 EUR.  </w:t>
      </w:r>
    </w:p>
    <w:p w:rsidR="0037320D" w:rsidRDefault="00536345" w:rsidP="00877171">
      <w:pPr>
        <w:jc w:val="both"/>
      </w:pPr>
      <w:r>
        <w:t>Obzirom d</w:t>
      </w:r>
      <w:r>
        <w:t>a je Bolnica prihodovala navedena sredstva od Hrvatskog zavoda za zapošljavanje u 2024. godini bilo je potrebno korigirati rezultat poslovanja za 2024. godinu u iznosu od 2.619,11 EUR. </w:t>
      </w:r>
    </w:p>
    <w:p w:rsidR="0037320D" w:rsidRDefault="00536345" w:rsidP="00877171">
      <w:pPr>
        <w:jc w:val="both"/>
      </w:pPr>
      <w:r>
        <w:t>Ostvareni manjak prihoda poslovanja za 2024. godinu koji je iznosio 2.</w:t>
      </w:r>
      <w:r>
        <w:t>123.381,51 EUR korigirat će se za iznos od 2.619,11 EUR te korigirani manjak prihoda poslovanja za 2024. godinu sada iznosi 2.126.000,62 EUR. Odluku je donijelo Upravno vijeće na 62. sjednici, održanoj 25. studenoga 2025. godine.</w:t>
      </w:r>
    </w:p>
    <w:p w:rsidR="0037320D" w:rsidRDefault="00536345" w:rsidP="00877171">
      <w:pPr>
        <w:jc w:val="both"/>
      </w:pPr>
      <w:r>
        <w:t>Ispravak rezultata poslova</w:t>
      </w:r>
      <w:r>
        <w:t>nja iz prethodnih godina sukladno Okružnici o sastavljanju financijskih izvještaja evidentiran je na kontu 92224 - Manjak prihoda poslovanja iz prethodnih godina u iznosu od 2.619,11 EUR.</w:t>
      </w:r>
    </w:p>
    <w:p w:rsidR="00877171" w:rsidRDefault="00877171">
      <w:pPr>
        <w:keepNext/>
        <w:spacing w:line="240" w:lineRule="auto"/>
        <w:jc w:val="center"/>
        <w:rPr>
          <w:sz w:val="28"/>
        </w:rPr>
      </w:pPr>
    </w:p>
    <w:p w:rsidR="0037320D" w:rsidRDefault="0053634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6341</w:t>
            </w:r>
          </w:p>
        </w:tc>
        <w:tc>
          <w:tcPr>
            <w:tcW w:w="3180" w:type="dxa"/>
            <w:tcMar>
              <w:top w:w="0" w:type="dxa"/>
              <w:bottom w:w="0" w:type="dxa"/>
            </w:tcMar>
            <w:vAlign w:val="center"/>
          </w:tcPr>
          <w:p w:rsidR="0037320D" w:rsidRDefault="00536345">
            <w:pPr>
              <w:keepNext/>
              <w:keepLines/>
              <w:spacing w:after="0" w:line="240" w:lineRule="auto"/>
            </w:pPr>
            <w:r>
              <w:rPr>
                <w:sz w:val="18"/>
              </w:rPr>
              <w:t>Tekuće pomoći od izvanproračunskih korisnika</w:t>
            </w:r>
          </w:p>
        </w:tc>
        <w:tc>
          <w:tcPr>
            <w:tcW w:w="700" w:type="dxa"/>
            <w:tcMar>
              <w:top w:w="0" w:type="dxa"/>
              <w:bottom w:w="0" w:type="dxa"/>
            </w:tcMar>
            <w:vAlign w:val="center"/>
          </w:tcPr>
          <w:p w:rsidR="0037320D" w:rsidRDefault="00536345">
            <w:pPr>
              <w:keepNext/>
              <w:keepLines/>
              <w:spacing w:after="0" w:line="240" w:lineRule="auto"/>
            </w:pPr>
            <w:r>
              <w:rPr>
                <w:sz w:val="18"/>
              </w:rPr>
              <w:t>6341</w:t>
            </w:r>
          </w:p>
        </w:tc>
        <w:tc>
          <w:tcPr>
            <w:tcW w:w="1860" w:type="dxa"/>
            <w:tcMar>
              <w:top w:w="0" w:type="dxa"/>
              <w:bottom w:w="0" w:type="dxa"/>
            </w:tcMar>
            <w:vAlign w:val="center"/>
          </w:tcPr>
          <w:p w:rsidR="0037320D" w:rsidRDefault="00536345">
            <w:pPr>
              <w:keepNext/>
              <w:keepLines/>
              <w:spacing w:after="0" w:line="240" w:lineRule="auto"/>
              <w:jc w:val="right"/>
            </w:pPr>
            <w:r>
              <w:rPr>
                <w:sz w:val="18"/>
              </w:rPr>
              <w:t>37.342,48</w:t>
            </w:r>
          </w:p>
        </w:tc>
        <w:tc>
          <w:tcPr>
            <w:tcW w:w="1860" w:type="dxa"/>
            <w:tcMar>
              <w:top w:w="0" w:type="dxa"/>
              <w:bottom w:w="0" w:type="dxa"/>
            </w:tcMar>
            <w:vAlign w:val="center"/>
          </w:tcPr>
          <w:p w:rsidR="0037320D" w:rsidRDefault="00536345">
            <w:pPr>
              <w:keepNext/>
              <w:keepLines/>
              <w:spacing w:after="0" w:line="240" w:lineRule="auto"/>
              <w:jc w:val="right"/>
            </w:pPr>
            <w:r>
              <w:rPr>
                <w:sz w:val="18"/>
              </w:rPr>
              <w:t>40.548,24</w:t>
            </w:r>
          </w:p>
        </w:tc>
        <w:tc>
          <w:tcPr>
            <w:tcW w:w="700" w:type="dxa"/>
            <w:tcMar>
              <w:top w:w="0" w:type="dxa"/>
              <w:bottom w:w="0" w:type="dxa"/>
            </w:tcMar>
            <w:vAlign w:val="center"/>
          </w:tcPr>
          <w:p w:rsidR="0037320D" w:rsidRDefault="00536345">
            <w:pPr>
              <w:keepNext/>
              <w:keepLines/>
              <w:spacing w:after="0" w:line="240" w:lineRule="auto"/>
              <w:jc w:val="right"/>
            </w:pPr>
            <w:r>
              <w:rPr>
                <w:sz w:val="18"/>
              </w:rPr>
              <w:t>108,6</w:t>
            </w:r>
          </w:p>
        </w:tc>
      </w:tr>
    </w:tbl>
    <w:p w:rsidR="0037320D" w:rsidRDefault="0037320D">
      <w:pPr>
        <w:spacing w:after="0"/>
      </w:pPr>
    </w:p>
    <w:p w:rsidR="0037320D" w:rsidRDefault="00536345" w:rsidP="00F07D15">
      <w:pPr>
        <w:jc w:val="both"/>
      </w:pPr>
      <w:r>
        <w:lastRenderedPageBreak/>
        <w:t xml:space="preserve">Tekuće pomoći od izvanproračunskih korisnika povećane su za 8,6%, a </w:t>
      </w:r>
      <w:r>
        <w:t>odnose se na primljena sredstva od HZZO-a za financiranje plaće za 8 pripravnika sukladno donesenoj Odluci o financiranju pripravničkog staža zdravstvenih radnika u 2025. godini. </w:t>
      </w:r>
    </w:p>
    <w:p w:rsidR="0037320D" w:rsidRDefault="00536345" w:rsidP="00877171">
      <w:pPr>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6361</w:t>
            </w:r>
          </w:p>
        </w:tc>
        <w:tc>
          <w:tcPr>
            <w:tcW w:w="3180" w:type="dxa"/>
            <w:tcMar>
              <w:top w:w="0" w:type="dxa"/>
              <w:bottom w:w="0" w:type="dxa"/>
            </w:tcMar>
            <w:vAlign w:val="center"/>
          </w:tcPr>
          <w:p w:rsidR="0037320D" w:rsidRDefault="00536345">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37320D" w:rsidRDefault="00536345">
            <w:pPr>
              <w:keepNext/>
              <w:keepLines/>
              <w:spacing w:after="0" w:line="240" w:lineRule="auto"/>
            </w:pPr>
            <w:r>
              <w:rPr>
                <w:sz w:val="18"/>
              </w:rPr>
              <w:t>6361</w:t>
            </w:r>
          </w:p>
        </w:tc>
        <w:tc>
          <w:tcPr>
            <w:tcW w:w="1860" w:type="dxa"/>
            <w:tcMar>
              <w:top w:w="0" w:type="dxa"/>
              <w:bottom w:w="0" w:type="dxa"/>
            </w:tcMar>
            <w:vAlign w:val="center"/>
          </w:tcPr>
          <w:p w:rsidR="0037320D" w:rsidRDefault="00536345">
            <w:pPr>
              <w:keepNext/>
              <w:keepLines/>
              <w:spacing w:after="0" w:line="240" w:lineRule="auto"/>
              <w:jc w:val="right"/>
            </w:pPr>
            <w:r>
              <w:rPr>
                <w:sz w:val="18"/>
              </w:rPr>
              <w:t>91.090,63</w:t>
            </w:r>
          </w:p>
        </w:tc>
        <w:tc>
          <w:tcPr>
            <w:tcW w:w="1860" w:type="dxa"/>
            <w:tcMar>
              <w:top w:w="0" w:type="dxa"/>
              <w:bottom w:w="0" w:type="dxa"/>
            </w:tcMar>
            <w:vAlign w:val="center"/>
          </w:tcPr>
          <w:p w:rsidR="0037320D" w:rsidRDefault="00536345">
            <w:pPr>
              <w:keepNext/>
              <w:keepLines/>
              <w:spacing w:after="0" w:line="240" w:lineRule="auto"/>
              <w:jc w:val="right"/>
            </w:pPr>
            <w:r>
              <w:rPr>
                <w:sz w:val="18"/>
              </w:rPr>
              <w:t>90.309,91</w:t>
            </w:r>
          </w:p>
        </w:tc>
        <w:tc>
          <w:tcPr>
            <w:tcW w:w="700" w:type="dxa"/>
            <w:tcMar>
              <w:top w:w="0" w:type="dxa"/>
              <w:bottom w:w="0" w:type="dxa"/>
            </w:tcMar>
            <w:vAlign w:val="center"/>
          </w:tcPr>
          <w:p w:rsidR="0037320D" w:rsidRDefault="00536345">
            <w:pPr>
              <w:keepNext/>
              <w:keepLines/>
              <w:spacing w:after="0" w:line="240" w:lineRule="auto"/>
              <w:jc w:val="right"/>
            </w:pPr>
            <w:r>
              <w:rPr>
                <w:sz w:val="18"/>
              </w:rPr>
              <w:t>99,1</w:t>
            </w:r>
          </w:p>
        </w:tc>
      </w:tr>
    </w:tbl>
    <w:p w:rsidR="0037320D" w:rsidRDefault="0037320D">
      <w:pPr>
        <w:spacing w:after="0"/>
      </w:pPr>
    </w:p>
    <w:p w:rsidR="0037320D" w:rsidRDefault="00536345" w:rsidP="00F07D15">
      <w:pPr>
        <w:jc w:val="both"/>
      </w:pPr>
      <w:r>
        <w:t xml:space="preserve">Tekuće pomoći proračunskim korisnicima iz proračuna koji </w:t>
      </w:r>
      <w:r>
        <w:t>im nije nadležan smanjene su za 0,9%, a odnose se na isplaćenu refundaciju sredstava po pravomoćnim sudskim presudama sukladno Odluci Vlade o namjenskoj pomoći za isplatu razlike osnovice od 6%. Prihodi su smanjeni u odnosu na prethodnu godinu jer je Bolni</w:t>
      </w:r>
      <w:r>
        <w:t>ca imala manje isplaćenih pravomoćnih presuda za koje je refundirala sredstva. </w:t>
      </w:r>
    </w:p>
    <w:p w:rsidR="00877171" w:rsidRDefault="00877171" w:rsidP="00877171">
      <w:pPr>
        <w:jc w:val="center"/>
      </w:pPr>
    </w:p>
    <w:p w:rsidR="0037320D" w:rsidRDefault="00536345" w:rsidP="00877171">
      <w:pPr>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6381</w:t>
            </w:r>
          </w:p>
        </w:tc>
        <w:tc>
          <w:tcPr>
            <w:tcW w:w="3180" w:type="dxa"/>
            <w:tcMar>
              <w:top w:w="0" w:type="dxa"/>
              <w:bottom w:w="0" w:type="dxa"/>
            </w:tcMar>
            <w:vAlign w:val="center"/>
          </w:tcPr>
          <w:p w:rsidR="0037320D" w:rsidRDefault="00536345">
            <w:pPr>
              <w:keepNext/>
              <w:keepLines/>
              <w:spacing w:after="0" w:line="240" w:lineRule="auto"/>
            </w:pPr>
            <w:r>
              <w:rPr>
                <w:sz w:val="18"/>
              </w:rPr>
              <w:t xml:space="preserve">Tekuće </w:t>
            </w:r>
            <w:r>
              <w:rPr>
                <w:sz w:val="18"/>
              </w:rPr>
              <w:t>pomoći temeljem prijenosa EU sredstava</w:t>
            </w:r>
          </w:p>
        </w:tc>
        <w:tc>
          <w:tcPr>
            <w:tcW w:w="700" w:type="dxa"/>
            <w:tcMar>
              <w:top w:w="0" w:type="dxa"/>
              <w:bottom w:w="0" w:type="dxa"/>
            </w:tcMar>
            <w:vAlign w:val="center"/>
          </w:tcPr>
          <w:p w:rsidR="0037320D" w:rsidRDefault="00536345">
            <w:pPr>
              <w:keepNext/>
              <w:keepLines/>
              <w:spacing w:after="0" w:line="240" w:lineRule="auto"/>
            </w:pPr>
            <w:r>
              <w:rPr>
                <w:sz w:val="18"/>
              </w:rPr>
              <w:t>6381</w:t>
            </w:r>
          </w:p>
        </w:tc>
        <w:tc>
          <w:tcPr>
            <w:tcW w:w="1860" w:type="dxa"/>
            <w:tcMar>
              <w:top w:w="0" w:type="dxa"/>
              <w:bottom w:w="0" w:type="dxa"/>
            </w:tcMar>
            <w:vAlign w:val="center"/>
          </w:tcPr>
          <w:p w:rsidR="0037320D" w:rsidRDefault="00536345">
            <w:pPr>
              <w:keepNext/>
              <w:keepLines/>
              <w:spacing w:after="0" w:line="240" w:lineRule="auto"/>
              <w:jc w:val="right"/>
            </w:pPr>
            <w:r>
              <w:rPr>
                <w:sz w:val="18"/>
              </w:rPr>
              <w:t>211.607,60</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700" w:type="dxa"/>
            <w:tcMar>
              <w:top w:w="0" w:type="dxa"/>
              <w:bottom w:w="0" w:type="dxa"/>
            </w:tcMar>
            <w:vAlign w:val="center"/>
          </w:tcPr>
          <w:p w:rsidR="0037320D" w:rsidRDefault="00536345">
            <w:pPr>
              <w:keepNext/>
              <w:keepLines/>
              <w:spacing w:after="0" w:line="240" w:lineRule="auto"/>
              <w:jc w:val="right"/>
            </w:pPr>
            <w:r>
              <w:rPr>
                <w:sz w:val="18"/>
              </w:rPr>
              <w:t>0</w:t>
            </w:r>
          </w:p>
        </w:tc>
      </w:tr>
    </w:tbl>
    <w:p w:rsidR="0037320D" w:rsidRDefault="0037320D">
      <w:pPr>
        <w:spacing w:after="0"/>
      </w:pPr>
    </w:p>
    <w:p w:rsidR="0037320D" w:rsidRDefault="00536345">
      <w:r>
        <w:t>Tekuće pomoći temeljem prijenosa EU sredstava u izvještajnom razdoblju nisu evidentirane za razliku od istog razdoblja prethodne godine. Bolnica je na ovom kontu evidentirala sredstva primljen</w:t>
      </w:r>
      <w:r>
        <w:t>a od Hrvatskog zavoda za zapošljavanje za sufinanciranje plaće pripravnika koji se u tekućoj godini više ne financiraju. </w:t>
      </w:r>
    </w:p>
    <w:p w:rsidR="0037320D" w:rsidRDefault="0037320D"/>
    <w:p w:rsidR="0037320D" w:rsidRDefault="0053634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6615</w:t>
            </w:r>
          </w:p>
        </w:tc>
        <w:tc>
          <w:tcPr>
            <w:tcW w:w="3180" w:type="dxa"/>
            <w:tcMar>
              <w:top w:w="0" w:type="dxa"/>
              <w:bottom w:w="0" w:type="dxa"/>
            </w:tcMar>
            <w:vAlign w:val="center"/>
          </w:tcPr>
          <w:p w:rsidR="0037320D" w:rsidRDefault="00536345">
            <w:pPr>
              <w:keepNext/>
              <w:keepLines/>
              <w:spacing w:after="0" w:line="240" w:lineRule="auto"/>
            </w:pPr>
            <w:r>
              <w:rPr>
                <w:sz w:val="18"/>
              </w:rPr>
              <w:t>Prihodi od pruženih usluga</w:t>
            </w:r>
          </w:p>
        </w:tc>
        <w:tc>
          <w:tcPr>
            <w:tcW w:w="700" w:type="dxa"/>
            <w:tcMar>
              <w:top w:w="0" w:type="dxa"/>
              <w:bottom w:w="0" w:type="dxa"/>
            </w:tcMar>
            <w:vAlign w:val="center"/>
          </w:tcPr>
          <w:p w:rsidR="0037320D" w:rsidRDefault="00536345">
            <w:pPr>
              <w:keepNext/>
              <w:keepLines/>
              <w:spacing w:after="0" w:line="240" w:lineRule="auto"/>
            </w:pPr>
            <w:r>
              <w:rPr>
                <w:sz w:val="18"/>
              </w:rPr>
              <w:t>6615</w:t>
            </w:r>
          </w:p>
        </w:tc>
        <w:tc>
          <w:tcPr>
            <w:tcW w:w="1860" w:type="dxa"/>
            <w:tcMar>
              <w:top w:w="0" w:type="dxa"/>
              <w:bottom w:w="0" w:type="dxa"/>
            </w:tcMar>
            <w:vAlign w:val="center"/>
          </w:tcPr>
          <w:p w:rsidR="0037320D" w:rsidRDefault="00536345">
            <w:pPr>
              <w:keepNext/>
              <w:keepLines/>
              <w:spacing w:after="0" w:line="240" w:lineRule="auto"/>
              <w:jc w:val="right"/>
            </w:pPr>
            <w:r>
              <w:rPr>
                <w:sz w:val="18"/>
              </w:rPr>
              <w:t>43.115,10</w:t>
            </w:r>
          </w:p>
        </w:tc>
        <w:tc>
          <w:tcPr>
            <w:tcW w:w="1860" w:type="dxa"/>
            <w:tcMar>
              <w:top w:w="0" w:type="dxa"/>
              <w:bottom w:w="0" w:type="dxa"/>
            </w:tcMar>
            <w:vAlign w:val="center"/>
          </w:tcPr>
          <w:p w:rsidR="0037320D" w:rsidRDefault="00536345">
            <w:pPr>
              <w:keepNext/>
              <w:keepLines/>
              <w:spacing w:after="0" w:line="240" w:lineRule="auto"/>
              <w:jc w:val="right"/>
            </w:pPr>
            <w:r>
              <w:rPr>
                <w:sz w:val="18"/>
              </w:rPr>
              <w:t>44.246,57</w:t>
            </w:r>
          </w:p>
        </w:tc>
        <w:tc>
          <w:tcPr>
            <w:tcW w:w="700" w:type="dxa"/>
            <w:tcMar>
              <w:top w:w="0" w:type="dxa"/>
              <w:bottom w:w="0" w:type="dxa"/>
            </w:tcMar>
            <w:vAlign w:val="center"/>
          </w:tcPr>
          <w:p w:rsidR="0037320D" w:rsidRDefault="00536345">
            <w:pPr>
              <w:keepNext/>
              <w:keepLines/>
              <w:spacing w:after="0" w:line="240" w:lineRule="auto"/>
              <w:jc w:val="right"/>
            </w:pPr>
            <w:r>
              <w:rPr>
                <w:sz w:val="18"/>
              </w:rPr>
              <w:t>102,6</w:t>
            </w:r>
          </w:p>
        </w:tc>
      </w:tr>
    </w:tbl>
    <w:p w:rsidR="0037320D" w:rsidRDefault="0037320D">
      <w:pPr>
        <w:spacing w:after="0"/>
      </w:pPr>
    </w:p>
    <w:p w:rsidR="0037320D" w:rsidRDefault="00536345" w:rsidP="00877171">
      <w:pPr>
        <w:jc w:val="both"/>
      </w:pPr>
      <w:r>
        <w:t>Prihodi od pruženih usluga povećani su za 2,6% u odnosu na prethodnu godinu, a odnose se na prihode od pruženih usluga građanima (bez uputnice) i inozemnim</w:t>
      </w:r>
      <w:r>
        <w:t xml:space="preserve"> pacijentima, prihoda ostvarenih od Centra za odgoj i obrazovanje Goljak za sufinanciranje prehrane djece i prihoda ostvarenih od davanja prostora na korištenje radi održavanja tečajeva i prihoda od ustupanja dijela prostora za postavljanje caffe aparata o</w:t>
      </w:r>
      <w:r>
        <w:t xml:space="preserve"> čemu je sklopljen ugovor. Povećanje prihoda nastalo je dijelom zbog povećanja cijene od ustupanja prostora za caffe aparate, kao i od većeg broja održavanja tečajeva u prostoru Bolnice.</w:t>
      </w:r>
    </w:p>
    <w:p w:rsidR="0037320D" w:rsidRDefault="00536345">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6632</w:t>
            </w:r>
          </w:p>
        </w:tc>
        <w:tc>
          <w:tcPr>
            <w:tcW w:w="3180" w:type="dxa"/>
            <w:tcMar>
              <w:top w:w="0" w:type="dxa"/>
              <w:bottom w:w="0" w:type="dxa"/>
            </w:tcMar>
            <w:vAlign w:val="center"/>
          </w:tcPr>
          <w:p w:rsidR="0037320D" w:rsidRDefault="00536345">
            <w:pPr>
              <w:keepNext/>
              <w:keepLines/>
              <w:spacing w:after="0" w:line="240" w:lineRule="auto"/>
            </w:pPr>
            <w:r>
              <w:rPr>
                <w:sz w:val="18"/>
              </w:rPr>
              <w:t>Kapitalne donacije</w:t>
            </w:r>
          </w:p>
        </w:tc>
        <w:tc>
          <w:tcPr>
            <w:tcW w:w="700" w:type="dxa"/>
            <w:tcMar>
              <w:top w:w="0" w:type="dxa"/>
              <w:bottom w:w="0" w:type="dxa"/>
            </w:tcMar>
            <w:vAlign w:val="center"/>
          </w:tcPr>
          <w:p w:rsidR="0037320D" w:rsidRDefault="00536345">
            <w:pPr>
              <w:keepNext/>
              <w:keepLines/>
              <w:spacing w:after="0" w:line="240" w:lineRule="auto"/>
            </w:pPr>
            <w:r>
              <w:rPr>
                <w:sz w:val="18"/>
              </w:rPr>
              <w:t>6632</w:t>
            </w:r>
          </w:p>
        </w:tc>
        <w:tc>
          <w:tcPr>
            <w:tcW w:w="1860" w:type="dxa"/>
            <w:tcMar>
              <w:top w:w="0" w:type="dxa"/>
              <w:bottom w:w="0" w:type="dxa"/>
            </w:tcMar>
            <w:vAlign w:val="center"/>
          </w:tcPr>
          <w:p w:rsidR="0037320D" w:rsidRDefault="00536345">
            <w:pPr>
              <w:keepNext/>
              <w:keepLines/>
              <w:spacing w:after="0" w:line="240" w:lineRule="auto"/>
              <w:jc w:val="right"/>
            </w:pPr>
            <w:r>
              <w:rPr>
                <w:sz w:val="18"/>
              </w:rPr>
              <w:t>13.377,65</w:t>
            </w:r>
          </w:p>
        </w:tc>
        <w:tc>
          <w:tcPr>
            <w:tcW w:w="1860" w:type="dxa"/>
            <w:tcMar>
              <w:top w:w="0" w:type="dxa"/>
              <w:bottom w:w="0" w:type="dxa"/>
            </w:tcMar>
            <w:vAlign w:val="center"/>
          </w:tcPr>
          <w:p w:rsidR="0037320D" w:rsidRDefault="00536345">
            <w:pPr>
              <w:keepNext/>
              <w:keepLines/>
              <w:spacing w:after="0" w:line="240" w:lineRule="auto"/>
              <w:jc w:val="right"/>
            </w:pPr>
            <w:r>
              <w:rPr>
                <w:sz w:val="18"/>
              </w:rPr>
              <w:t>87.425,77</w:t>
            </w:r>
          </w:p>
        </w:tc>
        <w:tc>
          <w:tcPr>
            <w:tcW w:w="700" w:type="dxa"/>
            <w:tcMar>
              <w:top w:w="0" w:type="dxa"/>
              <w:bottom w:w="0" w:type="dxa"/>
            </w:tcMar>
            <w:vAlign w:val="center"/>
          </w:tcPr>
          <w:p w:rsidR="0037320D" w:rsidRDefault="00536345">
            <w:pPr>
              <w:keepNext/>
              <w:keepLines/>
              <w:spacing w:after="0" w:line="240" w:lineRule="auto"/>
              <w:jc w:val="right"/>
            </w:pPr>
            <w:r>
              <w:rPr>
                <w:sz w:val="18"/>
              </w:rPr>
              <w:t>653,5</w:t>
            </w:r>
          </w:p>
        </w:tc>
      </w:tr>
    </w:tbl>
    <w:p w:rsidR="0037320D" w:rsidRDefault="0037320D">
      <w:pPr>
        <w:spacing w:after="0"/>
      </w:pPr>
    </w:p>
    <w:p w:rsidR="0037320D" w:rsidRDefault="00536345" w:rsidP="00877171">
      <w:pPr>
        <w:jc w:val="both"/>
      </w:pPr>
      <w:r>
        <w:t xml:space="preserve">Na ovom kontu Bolnica je u izvještajnom razdoblju ostvarila znatno povećanje prihoda u odnosu na </w:t>
      </w:r>
      <w:r>
        <w:t>ostvarenje prethodne godine jer je primila donacije od: </w:t>
      </w:r>
    </w:p>
    <w:p w:rsidR="0037320D" w:rsidRDefault="00536345" w:rsidP="00877171">
      <w:pPr>
        <w:jc w:val="both"/>
      </w:pPr>
      <w:r>
        <w:t>·         Spara u iznosu od 50.000,00 EUR ( nabavljen je automobil za prijevoz pacijenta, uredska oprema, podesivi stolac za pacijente, software za EMNG, projektor i platno i financirane su edukacije</w:t>
      </w:r>
      <w:r>
        <w:t xml:space="preserve"> djelatnika (Načela senzorne integracije u ranoj intervenciji, Vojta terapijski tečaj, Bobath tečaj, Schroth tečaj i tečaj hranjenja) )</w:t>
      </w:r>
    </w:p>
    <w:p w:rsidR="0037320D" w:rsidRDefault="00536345" w:rsidP="00877171">
      <w:pPr>
        <w:jc w:val="both"/>
      </w:pPr>
      <w:r>
        <w:t>·         Hrvatskog helsinškog odbora za ljudska prava u iznosu od 37.425,77 EUR (donacija je primljena u naravi ( komun</w:t>
      </w:r>
      <w:r>
        <w:t>ikacijska pomagala, komunikatori i komunikacijski software i druga prateća oprema). U sklopu projekta „Cerebralci za društvo-tehnologijom do slobode“, koji je 2024. godine prošao na javnom natječaju HRT-a i koji ga je pratio u sklopu medijskog projekta „Uz</w:t>
      </w:r>
      <w:r>
        <w:t xml:space="preserve"> nas niste sami“ HHO je započeo humanitarnu akciju prikupljanja financijskih sredstva usmjerenih  isključivo na nabavku asistivne tehnologije, u smislu komunikacijskih pomagala, komunikatora i komunikacijskih softwarea- i druge prateće opreme namijenjene S</w:t>
      </w:r>
      <w:r>
        <w:t>pecijalnoj bolnici za zaštitu djece s neurorazvojnim i motoričkim smetnjama, za interni program „Posudionice“ u ambulantama za asistivnu tehnologiju i potpomognuti komunikaciju. Tehnološkom potporom ovoj iznimno osjetljivoj populaciji naših sugrađana, pose</w:t>
      </w:r>
      <w:r>
        <w:t xml:space="preserve">bno onim najmlađima i onima koji su uključeni u obrazovni sustav, pripomoći će se ostvarivanju njihovih potencijala, njihovoj inkluziji u društvo a kasnije otklanjanju predrasuda prilikom njihova pozicioniranja na tržištu rada. Navedena asistivna pomagala </w:t>
      </w:r>
      <w:r>
        <w:t>sastavni su dio medicinske opreme u sklopu rehabilitacije. Humanitarna pomoć se prikupljala pozivima putem humanitarnog telefonskog broja, objavama u medijima usmjerena prema pravnim i fizičkim osobama za što je bio otvoren poseban račun za humanitarnu akc</w:t>
      </w:r>
      <w:r>
        <w:t>iju, zatim promoviranjem putem video spotova, tekstualnim porukama i predstavljanjima u programima Hrvatske radio televizije i Hrvatskog radija, te objavom na službenoj stranici Udruge HHO-a.</w:t>
      </w:r>
    </w:p>
    <w:p w:rsidR="0037320D" w:rsidRDefault="0053634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w:t>
            </w:r>
            <w:r>
              <w:rPr>
                <w:b/>
                <w:sz w:val="18"/>
              </w:rPr>
              <w:t>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671</w:t>
            </w:r>
          </w:p>
        </w:tc>
        <w:tc>
          <w:tcPr>
            <w:tcW w:w="3180" w:type="dxa"/>
            <w:tcMar>
              <w:top w:w="0" w:type="dxa"/>
              <w:bottom w:w="0" w:type="dxa"/>
            </w:tcMar>
            <w:vAlign w:val="center"/>
          </w:tcPr>
          <w:p w:rsidR="0037320D" w:rsidRDefault="00536345">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37320D" w:rsidRDefault="00536345">
            <w:pPr>
              <w:keepNext/>
              <w:keepLines/>
              <w:spacing w:after="0" w:line="240" w:lineRule="auto"/>
            </w:pPr>
            <w:r>
              <w:rPr>
                <w:sz w:val="18"/>
              </w:rPr>
              <w:t>671</w:t>
            </w:r>
          </w:p>
        </w:tc>
        <w:tc>
          <w:tcPr>
            <w:tcW w:w="1860" w:type="dxa"/>
            <w:tcMar>
              <w:top w:w="0" w:type="dxa"/>
              <w:bottom w:w="0" w:type="dxa"/>
            </w:tcMar>
            <w:vAlign w:val="center"/>
          </w:tcPr>
          <w:p w:rsidR="0037320D" w:rsidRDefault="00536345">
            <w:pPr>
              <w:keepNext/>
              <w:keepLines/>
              <w:spacing w:after="0" w:line="240" w:lineRule="auto"/>
              <w:jc w:val="right"/>
            </w:pPr>
            <w:r>
              <w:rPr>
                <w:sz w:val="18"/>
              </w:rPr>
              <w:t>881.358,82</w:t>
            </w:r>
          </w:p>
        </w:tc>
        <w:tc>
          <w:tcPr>
            <w:tcW w:w="1860" w:type="dxa"/>
            <w:tcMar>
              <w:top w:w="0" w:type="dxa"/>
              <w:bottom w:w="0" w:type="dxa"/>
            </w:tcMar>
            <w:vAlign w:val="center"/>
          </w:tcPr>
          <w:p w:rsidR="0037320D" w:rsidRDefault="00536345">
            <w:pPr>
              <w:keepNext/>
              <w:keepLines/>
              <w:spacing w:after="0" w:line="240" w:lineRule="auto"/>
              <w:jc w:val="right"/>
            </w:pPr>
            <w:r>
              <w:rPr>
                <w:sz w:val="18"/>
              </w:rPr>
              <w:t>494.382,54</w:t>
            </w:r>
          </w:p>
        </w:tc>
        <w:tc>
          <w:tcPr>
            <w:tcW w:w="700" w:type="dxa"/>
            <w:tcMar>
              <w:top w:w="0" w:type="dxa"/>
              <w:bottom w:w="0" w:type="dxa"/>
            </w:tcMar>
            <w:vAlign w:val="center"/>
          </w:tcPr>
          <w:p w:rsidR="0037320D" w:rsidRDefault="00536345">
            <w:pPr>
              <w:keepNext/>
              <w:keepLines/>
              <w:spacing w:after="0" w:line="240" w:lineRule="auto"/>
              <w:jc w:val="right"/>
            </w:pPr>
            <w:r>
              <w:rPr>
                <w:sz w:val="18"/>
              </w:rPr>
              <w:t>56,1</w:t>
            </w:r>
          </w:p>
        </w:tc>
      </w:tr>
    </w:tbl>
    <w:p w:rsidR="0037320D" w:rsidRDefault="0037320D">
      <w:pPr>
        <w:spacing w:after="0"/>
      </w:pPr>
    </w:p>
    <w:p w:rsidR="0037320D" w:rsidRDefault="00536345">
      <w:r>
        <w:t xml:space="preserve">Prihodi </w:t>
      </w:r>
      <w:r>
        <w:t>iz nadležnog proračuna za financiranje redovne djelatnosti proračunskih korisnika iznose 494.382,54 EUR i smanjeni su za 43,9%, a sastoje se od:</w:t>
      </w:r>
    </w:p>
    <w:p w:rsidR="0037320D" w:rsidRDefault="00536345" w:rsidP="00877171">
      <w:pPr>
        <w:pStyle w:val="Odlomakpopisa"/>
        <w:numPr>
          <w:ilvl w:val="0"/>
          <w:numId w:val="3"/>
        </w:numPr>
      </w:pPr>
      <w:r>
        <w:t>Prihoda iz nadležnog proračuna za financiranje rashoda poslovanja u iznosu od 398.455,83 EUR (Šifra 6711)</w:t>
      </w:r>
    </w:p>
    <w:p w:rsidR="0037320D" w:rsidRDefault="00536345" w:rsidP="00877171">
      <w:pPr>
        <w:pStyle w:val="Odlomakpopisa"/>
        <w:numPr>
          <w:ilvl w:val="0"/>
          <w:numId w:val="3"/>
        </w:numPr>
      </w:pPr>
      <w:r>
        <w:lastRenderedPageBreak/>
        <w:t>Priho</w:t>
      </w:r>
      <w:r>
        <w:t>da iz nadležnog proračuna za financiranje rashoda za nabavu nefinancijske imovine u iznosu od 95.926,71 EUR (Šifra 6712)</w:t>
      </w:r>
    </w:p>
    <w:p w:rsidR="0037320D" w:rsidRDefault="0037320D"/>
    <w:p w:rsidR="0037320D" w:rsidRDefault="0053634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w:t>
            </w:r>
            <w:r>
              <w:rPr>
                <w:b/>
                <w:sz w:val="18"/>
              </w:rPr>
              <w:t>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6711</w:t>
            </w:r>
          </w:p>
        </w:tc>
        <w:tc>
          <w:tcPr>
            <w:tcW w:w="3180" w:type="dxa"/>
            <w:tcMar>
              <w:top w:w="0" w:type="dxa"/>
              <w:bottom w:w="0" w:type="dxa"/>
            </w:tcMar>
            <w:vAlign w:val="center"/>
          </w:tcPr>
          <w:p w:rsidR="0037320D" w:rsidRDefault="00536345">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37320D" w:rsidRDefault="00536345">
            <w:pPr>
              <w:keepNext/>
              <w:keepLines/>
              <w:spacing w:after="0" w:line="240" w:lineRule="auto"/>
            </w:pPr>
            <w:r>
              <w:rPr>
                <w:sz w:val="18"/>
              </w:rPr>
              <w:t>6711</w:t>
            </w:r>
          </w:p>
        </w:tc>
        <w:tc>
          <w:tcPr>
            <w:tcW w:w="1860" w:type="dxa"/>
            <w:tcMar>
              <w:top w:w="0" w:type="dxa"/>
              <w:bottom w:w="0" w:type="dxa"/>
            </w:tcMar>
            <w:vAlign w:val="center"/>
          </w:tcPr>
          <w:p w:rsidR="0037320D" w:rsidRDefault="00536345">
            <w:pPr>
              <w:keepNext/>
              <w:keepLines/>
              <w:spacing w:after="0" w:line="240" w:lineRule="auto"/>
              <w:jc w:val="right"/>
            </w:pPr>
            <w:r>
              <w:rPr>
                <w:sz w:val="18"/>
              </w:rPr>
              <w:t>219.933,93</w:t>
            </w:r>
          </w:p>
        </w:tc>
        <w:tc>
          <w:tcPr>
            <w:tcW w:w="1860" w:type="dxa"/>
            <w:tcMar>
              <w:top w:w="0" w:type="dxa"/>
              <w:bottom w:w="0" w:type="dxa"/>
            </w:tcMar>
            <w:vAlign w:val="center"/>
          </w:tcPr>
          <w:p w:rsidR="0037320D" w:rsidRDefault="00536345">
            <w:pPr>
              <w:keepNext/>
              <w:keepLines/>
              <w:spacing w:after="0" w:line="240" w:lineRule="auto"/>
              <w:jc w:val="right"/>
            </w:pPr>
            <w:r>
              <w:rPr>
                <w:sz w:val="18"/>
              </w:rPr>
              <w:t>398.455,83</w:t>
            </w:r>
          </w:p>
        </w:tc>
        <w:tc>
          <w:tcPr>
            <w:tcW w:w="700" w:type="dxa"/>
            <w:tcMar>
              <w:top w:w="0" w:type="dxa"/>
              <w:bottom w:w="0" w:type="dxa"/>
            </w:tcMar>
            <w:vAlign w:val="center"/>
          </w:tcPr>
          <w:p w:rsidR="0037320D" w:rsidRDefault="00536345">
            <w:pPr>
              <w:keepNext/>
              <w:keepLines/>
              <w:spacing w:after="0" w:line="240" w:lineRule="auto"/>
              <w:jc w:val="right"/>
            </w:pPr>
            <w:r>
              <w:rPr>
                <w:sz w:val="18"/>
              </w:rPr>
              <w:t>181,2</w:t>
            </w:r>
          </w:p>
        </w:tc>
      </w:tr>
    </w:tbl>
    <w:p w:rsidR="0037320D" w:rsidRDefault="0037320D">
      <w:pPr>
        <w:spacing w:after="0"/>
      </w:pPr>
    </w:p>
    <w:p w:rsidR="0037320D" w:rsidRDefault="00536345">
      <w:r>
        <w:t xml:space="preserve">Prihodi iz nadležnog proračuna za financiranje rashoda poslovanja iznose 398.455,83 EUR i povećani su za 81,2%, a </w:t>
      </w:r>
      <w:r>
        <w:t>odnose se na sljedeće:</w:t>
      </w:r>
    </w:p>
    <w:p w:rsidR="0037320D" w:rsidRDefault="00536345">
      <w:pPr>
        <w:pStyle w:val="Odlomakpopisa"/>
        <w:numPr>
          <w:ilvl w:val="0"/>
          <w:numId w:val="1"/>
        </w:numPr>
      </w:pPr>
      <w:r>
        <w:t xml:space="preserve">Sredstva decentralizacije koja Bolnica ostvaruje od nadležnog proračuna – Grada Zagreba za usluge tekućeg održavanje u iznosu od </w:t>
      </w:r>
      <w:r>
        <w:rPr>
          <w:i/>
        </w:rPr>
        <w:t>97.726,77 EUR</w:t>
      </w:r>
    </w:p>
    <w:p w:rsidR="0037320D" w:rsidRDefault="00536345">
      <w:pPr>
        <w:pStyle w:val="Odlomakpopisa"/>
        <w:numPr>
          <w:ilvl w:val="0"/>
          <w:numId w:val="1"/>
        </w:numPr>
      </w:pPr>
      <w:r>
        <w:t xml:space="preserve">Zaključak gradonačelnika Grada Zagreba o raspodijeli sredstava za djelomično podmirenje gubitaka, Klasa: 024-01/25-003/126, Urbroj: 251-16-04-25-5 od 27. ožujka 2025. godine u iznosu od </w:t>
      </w:r>
      <w:r>
        <w:rPr>
          <w:i/>
        </w:rPr>
        <w:t>200.000,00 EUR</w:t>
      </w:r>
      <w:r>
        <w:t xml:space="preserve"> kao financijsku potporu za djelomično podmirenje gubitk</w:t>
      </w:r>
      <w:r>
        <w:t>a u poslovanju. </w:t>
      </w:r>
    </w:p>
    <w:p w:rsidR="0037320D" w:rsidRDefault="00536345">
      <w:pPr>
        <w:pStyle w:val="Odlomakpopisa"/>
        <w:numPr>
          <w:ilvl w:val="0"/>
          <w:numId w:val="1"/>
        </w:numPr>
      </w:pPr>
      <w:r>
        <w:t xml:space="preserve">Odobreni projekt Implementacija ENVISAGE programa za roditelje djece s teškoćama u razvoju pri Specijalnoj bolnici za zaštitu djece s neurorazvojnim i motoričkim smetnjama u iznosu od </w:t>
      </w:r>
      <w:r>
        <w:rPr>
          <w:i/>
        </w:rPr>
        <w:t>18.800,00 EUR </w:t>
      </w:r>
    </w:p>
    <w:p w:rsidR="0037320D" w:rsidRDefault="00536345">
      <w:pPr>
        <w:pStyle w:val="Odlomakpopisa"/>
        <w:numPr>
          <w:ilvl w:val="0"/>
          <w:numId w:val="1"/>
        </w:numPr>
      </w:pPr>
      <w:r>
        <w:t>Sufinanciranje troškova energije temelje</w:t>
      </w:r>
      <w:r>
        <w:t xml:space="preserve">m sklopljenog Ugovora o sufinanciranju troškova energije s Gradom Zagrebom u iznosu od </w:t>
      </w:r>
      <w:r>
        <w:rPr>
          <w:i/>
        </w:rPr>
        <w:t>81.929,06 EUR</w:t>
      </w:r>
    </w:p>
    <w:p w:rsidR="00877171" w:rsidRDefault="00877171"/>
    <w:p w:rsidR="0037320D" w:rsidRDefault="00536345">
      <w:r>
        <w:t>Povećanje prihoda nastalo je zbog odobrene financijske potpore Grada Zagreba za djelomično podmirenje gubitaka u poslovanju.</w:t>
      </w:r>
    </w:p>
    <w:p w:rsidR="0037320D" w:rsidRDefault="0037320D"/>
    <w:p w:rsidR="0037320D" w:rsidRDefault="0053634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w:t>
            </w:r>
            <w:r>
              <w:rPr>
                <w:b/>
                <w:sz w:val="18"/>
              </w:rPr>
              <w:t>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6712</w:t>
            </w:r>
          </w:p>
        </w:tc>
        <w:tc>
          <w:tcPr>
            <w:tcW w:w="3180" w:type="dxa"/>
            <w:tcMar>
              <w:top w:w="0" w:type="dxa"/>
              <w:bottom w:w="0" w:type="dxa"/>
            </w:tcMar>
            <w:vAlign w:val="center"/>
          </w:tcPr>
          <w:p w:rsidR="0037320D" w:rsidRDefault="00536345">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37320D" w:rsidRDefault="00536345">
            <w:pPr>
              <w:keepNext/>
              <w:keepLines/>
              <w:spacing w:after="0" w:line="240" w:lineRule="auto"/>
            </w:pPr>
            <w:r>
              <w:rPr>
                <w:sz w:val="18"/>
              </w:rPr>
              <w:t>6712</w:t>
            </w:r>
          </w:p>
        </w:tc>
        <w:tc>
          <w:tcPr>
            <w:tcW w:w="1860" w:type="dxa"/>
            <w:tcMar>
              <w:top w:w="0" w:type="dxa"/>
              <w:bottom w:w="0" w:type="dxa"/>
            </w:tcMar>
            <w:vAlign w:val="center"/>
          </w:tcPr>
          <w:p w:rsidR="0037320D" w:rsidRDefault="00536345">
            <w:pPr>
              <w:keepNext/>
              <w:keepLines/>
              <w:spacing w:after="0" w:line="240" w:lineRule="auto"/>
              <w:jc w:val="right"/>
            </w:pPr>
            <w:r>
              <w:rPr>
                <w:sz w:val="18"/>
              </w:rPr>
              <w:t>661.424,89</w:t>
            </w:r>
          </w:p>
        </w:tc>
        <w:tc>
          <w:tcPr>
            <w:tcW w:w="1860" w:type="dxa"/>
            <w:tcMar>
              <w:top w:w="0" w:type="dxa"/>
              <w:bottom w:w="0" w:type="dxa"/>
            </w:tcMar>
            <w:vAlign w:val="center"/>
          </w:tcPr>
          <w:p w:rsidR="0037320D" w:rsidRDefault="00536345">
            <w:pPr>
              <w:keepNext/>
              <w:keepLines/>
              <w:spacing w:after="0" w:line="240" w:lineRule="auto"/>
              <w:jc w:val="right"/>
            </w:pPr>
            <w:r>
              <w:rPr>
                <w:sz w:val="18"/>
              </w:rPr>
              <w:t>95.926,71</w:t>
            </w:r>
          </w:p>
        </w:tc>
        <w:tc>
          <w:tcPr>
            <w:tcW w:w="700" w:type="dxa"/>
            <w:tcMar>
              <w:top w:w="0" w:type="dxa"/>
              <w:bottom w:w="0" w:type="dxa"/>
            </w:tcMar>
            <w:vAlign w:val="center"/>
          </w:tcPr>
          <w:p w:rsidR="0037320D" w:rsidRDefault="00536345">
            <w:pPr>
              <w:keepNext/>
              <w:keepLines/>
              <w:spacing w:after="0" w:line="240" w:lineRule="auto"/>
              <w:jc w:val="right"/>
            </w:pPr>
            <w:r>
              <w:rPr>
                <w:sz w:val="18"/>
              </w:rPr>
              <w:t>14,5</w:t>
            </w:r>
          </w:p>
        </w:tc>
      </w:tr>
    </w:tbl>
    <w:p w:rsidR="0037320D" w:rsidRDefault="0037320D">
      <w:pPr>
        <w:spacing w:after="0"/>
      </w:pPr>
    </w:p>
    <w:p w:rsidR="0037320D" w:rsidRDefault="00536345" w:rsidP="00877171">
      <w:pPr>
        <w:jc w:val="both"/>
      </w:pPr>
      <w:r>
        <w:t>Prihodi iz nadležnog proračuna za financiranje rashoda za nabavu nefinancijske imovine u iznosu od 95.926,71 EUR odnose se na primljena sredstava decentralizacije koja Bolnica ostvaruje od nadležnog proračuna – Grada Zagreba za nabavu uredske opreme</w:t>
      </w:r>
      <w:r>
        <w:t xml:space="preserve"> i namještaja, opreme za održavanje i zaštitu, medicinske opreme i uređaja, strojeva i opreme za ostale namjene.</w:t>
      </w:r>
    </w:p>
    <w:p w:rsidR="0037320D" w:rsidRDefault="00536345" w:rsidP="00877171">
      <w:pPr>
        <w:jc w:val="both"/>
      </w:pPr>
      <w:r>
        <w:t xml:space="preserve">Prihodi su smanjeni za 85,5%  jer je Bolnica u prethodnoj godini nabavila rehabilitacijski robot za trening hodanja u iznosu od 512.125,00 EUR </w:t>
      </w:r>
      <w:r>
        <w:t>koji je financiran od strane Grada Zagreba kao kapitalno ulaganje u zdravstvene ustanove.</w:t>
      </w:r>
    </w:p>
    <w:p w:rsidR="0037320D" w:rsidRDefault="0037320D" w:rsidP="00877171">
      <w:pPr>
        <w:jc w:val="both"/>
      </w:pPr>
    </w:p>
    <w:p w:rsidR="0037320D" w:rsidRDefault="00536345">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673</w:t>
            </w:r>
          </w:p>
        </w:tc>
        <w:tc>
          <w:tcPr>
            <w:tcW w:w="3180" w:type="dxa"/>
            <w:tcMar>
              <w:top w:w="0" w:type="dxa"/>
              <w:bottom w:w="0" w:type="dxa"/>
            </w:tcMar>
            <w:vAlign w:val="center"/>
          </w:tcPr>
          <w:p w:rsidR="0037320D" w:rsidRDefault="00536345">
            <w:pPr>
              <w:keepNext/>
              <w:keepLines/>
              <w:spacing w:after="0" w:line="240" w:lineRule="auto"/>
            </w:pPr>
            <w:r>
              <w:rPr>
                <w:sz w:val="18"/>
              </w:rPr>
              <w:t>Prihodi od HZZO-a na temelju ugovornih obveza</w:t>
            </w:r>
          </w:p>
        </w:tc>
        <w:tc>
          <w:tcPr>
            <w:tcW w:w="700" w:type="dxa"/>
            <w:tcMar>
              <w:top w:w="0" w:type="dxa"/>
              <w:bottom w:w="0" w:type="dxa"/>
            </w:tcMar>
            <w:vAlign w:val="center"/>
          </w:tcPr>
          <w:p w:rsidR="0037320D" w:rsidRDefault="00536345">
            <w:pPr>
              <w:keepNext/>
              <w:keepLines/>
              <w:spacing w:after="0" w:line="240" w:lineRule="auto"/>
            </w:pPr>
            <w:r>
              <w:rPr>
                <w:sz w:val="18"/>
              </w:rPr>
              <w:t>673</w:t>
            </w:r>
          </w:p>
        </w:tc>
        <w:tc>
          <w:tcPr>
            <w:tcW w:w="1860" w:type="dxa"/>
            <w:tcMar>
              <w:top w:w="0" w:type="dxa"/>
              <w:bottom w:w="0" w:type="dxa"/>
            </w:tcMar>
            <w:vAlign w:val="center"/>
          </w:tcPr>
          <w:p w:rsidR="0037320D" w:rsidRDefault="00536345">
            <w:pPr>
              <w:keepNext/>
              <w:keepLines/>
              <w:spacing w:after="0" w:line="240" w:lineRule="auto"/>
              <w:jc w:val="right"/>
            </w:pPr>
            <w:r>
              <w:rPr>
                <w:sz w:val="18"/>
              </w:rPr>
              <w:t>6.177.025,94</w:t>
            </w:r>
          </w:p>
        </w:tc>
        <w:tc>
          <w:tcPr>
            <w:tcW w:w="1860" w:type="dxa"/>
            <w:tcMar>
              <w:top w:w="0" w:type="dxa"/>
              <w:bottom w:w="0" w:type="dxa"/>
            </w:tcMar>
            <w:vAlign w:val="center"/>
          </w:tcPr>
          <w:p w:rsidR="0037320D" w:rsidRDefault="00536345">
            <w:pPr>
              <w:keepNext/>
              <w:keepLines/>
              <w:spacing w:after="0" w:line="240" w:lineRule="auto"/>
              <w:jc w:val="right"/>
            </w:pPr>
            <w:r>
              <w:rPr>
                <w:sz w:val="18"/>
              </w:rPr>
              <w:t>6.759.422,47</w:t>
            </w:r>
          </w:p>
        </w:tc>
        <w:tc>
          <w:tcPr>
            <w:tcW w:w="700" w:type="dxa"/>
            <w:tcMar>
              <w:top w:w="0" w:type="dxa"/>
              <w:bottom w:w="0" w:type="dxa"/>
            </w:tcMar>
            <w:vAlign w:val="center"/>
          </w:tcPr>
          <w:p w:rsidR="0037320D" w:rsidRDefault="00536345">
            <w:pPr>
              <w:keepNext/>
              <w:keepLines/>
              <w:spacing w:after="0" w:line="240" w:lineRule="auto"/>
              <w:jc w:val="right"/>
            </w:pPr>
            <w:r>
              <w:rPr>
                <w:sz w:val="18"/>
              </w:rPr>
              <w:t>109,4</w:t>
            </w:r>
          </w:p>
        </w:tc>
      </w:tr>
    </w:tbl>
    <w:p w:rsidR="0037320D" w:rsidRDefault="0037320D">
      <w:pPr>
        <w:spacing w:after="0"/>
      </w:pPr>
    </w:p>
    <w:p w:rsidR="0037320D" w:rsidRDefault="00536345" w:rsidP="00877171">
      <w:pPr>
        <w:jc w:val="both"/>
      </w:pPr>
      <w:r>
        <w:t>Prihodi od HZZO-a na temelju ugovornih obveza iznose 6.759.422,47 EUR i u 2025. godini su povećani za 9,4% jer je Bolnici u više navrata povećan ugovoreni limit. </w:t>
      </w:r>
    </w:p>
    <w:p w:rsidR="0037320D" w:rsidRDefault="00536345">
      <w:r>
        <w:t>Prihodi ostvareni od HZZO-a sastoje se od:</w:t>
      </w:r>
    </w:p>
    <w:p w:rsidR="0037320D" w:rsidRDefault="00536345">
      <w:pPr>
        <w:pStyle w:val="Odlomakpopisa"/>
        <w:numPr>
          <w:ilvl w:val="0"/>
          <w:numId w:val="1"/>
        </w:numPr>
      </w:pPr>
      <w:r>
        <w:t>Prihoda na temelju ugovornih obveza za obavljanje usluga zdravstvene zaštite u iznosu od 6.754.056,41 EUR</w:t>
      </w:r>
    </w:p>
    <w:p w:rsidR="0037320D" w:rsidRDefault="00536345">
      <w:pPr>
        <w:pStyle w:val="Odlomakpopisa"/>
        <w:numPr>
          <w:ilvl w:val="0"/>
          <w:numId w:val="1"/>
        </w:numPr>
      </w:pPr>
      <w:r>
        <w:t>Prihoda na temelju ugovornih obveza – izvan limita u iznosu od 5.366,06 EUR </w:t>
      </w:r>
    </w:p>
    <w:p w:rsidR="0037320D" w:rsidRDefault="0037320D"/>
    <w:p w:rsidR="0037320D" w:rsidRDefault="00536345">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w:t>
            </w:r>
            <w:r>
              <w:rPr>
                <w:b/>
                <w:sz w:val="18"/>
              </w:rPr>
              <w:t>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683</w:t>
            </w:r>
          </w:p>
        </w:tc>
        <w:tc>
          <w:tcPr>
            <w:tcW w:w="3180" w:type="dxa"/>
            <w:tcMar>
              <w:top w:w="0" w:type="dxa"/>
              <w:bottom w:w="0" w:type="dxa"/>
            </w:tcMar>
            <w:vAlign w:val="center"/>
          </w:tcPr>
          <w:p w:rsidR="0037320D" w:rsidRDefault="00536345">
            <w:pPr>
              <w:keepNext/>
              <w:keepLines/>
              <w:spacing w:after="0" w:line="240" w:lineRule="auto"/>
            </w:pPr>
            <w:r>
              <w:rPr>
                <w:sz w:val="18"/>
              </w:rPr>
              <w:t>Ostali prihodi</w:t>
            </w:r>
          </w:p>
        </w:tc>
        <w:tc>
          <w:tcPr>
            <w:tcW w:w="700" w:type="dxa"/>
            <w:tcMar>
              <w:top w:w="0" w:type="dxa"/>
              <w:bottom w:w="0" w:type="dxa"/>
            </w:tcMar>
            <w:vAlign w:val="center"/>
          </w:tcPr>
          <w:p w:rsidR="0037320D" w:rsidRDefault="00536345">
            <w:pPr>
              <w:keepNext/>
              <w:keepLines/>
              <w:spacing w:after="0" w:line="240" w:lineRule="auto"/>
            </w:pPr>
            <w:r>
              <w:rPr>
                <w:sz w:val="18"/>
              </w:rPr>
              <w:t>683</w:t>
            </w:r>
          </w:p>
        </w:tc>
        <w:tc>
          <w:tcPr>
            <w:tcW w:w="1860" w:type="dxa"/>
            <w:tcMar>
              <w:top w:w="0" w:type="dxa"/>
              <w:bottom w:w="0" w:type="dxa"/>
            </w:tcMar>
            <w:vAlign w:val="center"/>
          </w:tcPr>
          <w:p w:rsidR="0037320D" w:rsidRDefault="00536345">
            <w:pPr>
              <w:keepNext/>
              <w:keepLines/>
              <w:spacing w:after="0" w:line="240" w:lineRule="auto"/>
              <w:jc w:val="right"/>
            </w:pPr>
            <w:r>
              <w:rPr>
                <w:sz w:val="18"/>
              </w:rPr>
              <w:t>7.251,84</w:t>
            </w:r>
          </w:p>
        </w:tc>
        <w:tc>
          <w:tcPr>
            <w:tcW w:w="1860" w:type="dxa"/>
            <w:tcMar>
              <w:top w:w="0" w:type="dxa"/>
              <w:bottom w:w="0" w:type="dxa"/>
            </w:tcMar>
            <w:vAlign w:val="center"/>
          </w:tcPr>
          <w:p w:rsidR="0037320D" w:rsidRDefault="00536345">
            <w:pPr>
              <w:keepNext/>
              <w:keepLines/>
              <w:spacing w:after="0" w:line="240" w:lineRule="auto"/>
              <w:jc w:val="right"/>
            </w:pPr>
            <w:r>
              <w:rPr>
                <w:sz w:val="18"/>
              </w:rPr>
              <w:t>1.850,65</w:t>
            </w:r>
          </w:p>
        </w:tc>
        <w:tc>
          <w:tcPr>
            <w:tcW w:w="700" w:type="dxa"/>
            <w:tcMar>
              <w:top w:w="0" w:type="dxa"/>
              <w:bottom w:w="0" w:type="dxa"/>
            </w:tcMar>
            <w:vAlign w:val="center"/>
          </w:tcPr>
          <w:p w:rsidR="0037320D" w:rsidRDefault="00536345">
            <w:pPr>
              <w:keepNext/>
              <w:keepLines/>
              <w:spacing w:after="0" w:line="240" w:lineRule="auto"/>
              <w:jc w:val="right"/>
            </w:pPr>
            <w:r>
              <w:rPr>
                <w:sz w:val="18"/>
              </w:rPr>
              <w:t>25,5</w:t>
            </w:r>
          </w:p>
        </w:tc>
      </w:tr>
    </w:tbl>
    <w:p w:rsidR="0037320D" w:rsidRDefault="0037320D">
      <w:pPr>
        <w:spacing w:after="0"/>
      </w:pPr>
    </w:p>
    <w:p w:rsidR="0037320D" w:rsidRDefault="00536345" w:rsidP="00877171">
      <w:pPr>
        <w:jc w:val="both"/>
      </w:pPr>
      <w:r>
        <w:t xml:space="preserve">Ostali prihodi ostvareni su u iznosu 1.850,65 EUR i smanjeni su za 74,5% </w:t>
      </w:r>
      <w:r>
        <w:t>u odnosu na izvještajno razdoblje prethodne godine. Razlog smanjenja je  evidentirani prihod temeljem Ugovora o sponzorstvu u iznosu od 7.000,00 EUR u prethodnoj godini. </w:t>
      </w:r>
    </w:p>
    <w:p w:rsidR="0037320D" w:rsidRDefault="0037320D"/>
    <w:p w:rsidR="0037320D" w:rsidRDefault="0053634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31</w:t>
            </w:r>
          </w:p>
        </w:tc>
        <w:tc>
          <w:tcPr>
            <w:tcW w:w="3180" w:type="dxa"/>
            <w:tcMar>
              <w:top w:w="0" w:type="dxa"/>
              <w:bottom w:w="0" w:type="dxa"/>
            </w:tcMar>
            <w:vAlign w:val="center"/>
          </w:tcPr>
          <w:p w:rsidR="0037320D" w:rsidRDefault="00536345">
            <w:pPr>
              <w:keepNext/>
              <w:keepLines/>
              <w:spacing w:after="0" w:line="240" w:lineRule="auto"/>
            </w:pPr>
            <w:r>
              <w:rPr>
                <w:sz w:val="18"/>
              </w:rPr>
              <w:t>Rashodi za zaposlene (šifre 311+312+313)</w:t>
            </w:r>
          </w:p>
        </w:tc>
        <w:tc>
          <w:tcPr>
            <w:tcW w:w="700" w:type="dxa"/>
            <w:tcMar>
              <w:top w:w="0" w:type="dxa"/>
              <w:bottom w:w="0" w:type="dxa"/>
            </w:tcMar>
            <w:vAlign w:val="center"/>
          </w:tcPr>
          <w:p w:rsidR="0037320D" w:rsidRDefault="00536345">
            <w:pPr>
              <w:keepNext/>
              <w:keepLines/>
              <w:spacing w:after="0" w:line="240" w:lineRule="auto"/>
            </w:pPr>
            <w:r>
              <w:rPr>
                <w:sz w:val="18"/>
              </w:rPr>
              <w:t>31</w:t>
            </w:r>
          </w:p>
        </w:tc>
        <w:tc>
          <w:tcPr>
            <w:tcW w:w="1860" w:type="dxa"/>
            <w:tcMar>
              <w:top w:w="0" w:type="dxa"/>
              <w:bottom w:w="0" w:type="dxa"/>
            </w:tcMar>
            <w:vAlign w:val="center"/>
          </w:tcPr>
          <w:p w:rsidR="0037320D" w:rsidRDefault="00536345">
            <w:pPr>
              <w:keepNext/>
              <w:keepLines/>
              <w:spacing w:after="0" w:line="240" w:lineRule="auto"/>
              <w:jc w:val="right"/>
            </w:pPr>
            <w:r>
              <w:rPr>
                <w:sz w:val="18"/>
              </w:rPr>
              <w:t>6.603.169,48</w:t>
            </w:r>
          </w:p>
        </w:tc>
        <w:tc>
          <w:tcPr>
            <w:tcW w:w="1860" w:type="dxa"/>
            <w:tcMar>
              <w:top w:w="0" w:type="dxa"/>
              <w:bottom w:w="0" w:type="dxa"/>
            </w:tcMar>
            <w:vAlign w:val="center"/>
          </w:tcPr>
          <w:p w:rsidR="0037320D" w:rsidRDefault="00536345">
            <w:pPr>
              <w:keepNext/>
              <w:keepLines/>
              <w:spacing w:after="0" w:line="240" w:lineRule="auto"/>
              <w:jc w:val="right"/>
            </w:pPr>
            <w:r>
              <w:rPr>
                <w:sz w:val="18"/>
              </w:rPr>
              <w:t>7.330.639,23</w:t>
            </w:r>
          </w:p>
        </w:tc>
        <w:tc>
          <w:tcPr>
            <w:tcW w:w="700" w:type="dxa"/>
            <w:tcMar>
              <w:top w:w="0" w:type="dxa"/>
              <w:bottom w:w="0" w:type="dxa"/>
            </w:tcMar>
            <w:vAlign w:val="center"/>
          </w:tcPr>
          <w:p w:rsidR="0037320D" w:rsidRDefault="00536345">
            <w:pPr>
              <w:keepNext/>
              <w:keepLines/>
              <w:spacing w:after="0" w:line="240" w:lineRule="auto"/>
              <w:jc w:val="right"/>
            </w:pPr>
            <w:r>
              <w:rPr>
                <w:sz w:val="18"/>
              </w:rPr>
              <w:t>111,0</w:t>
            </w:r>
          </w:p>
        </w:tc>
      </w:tr>
    </w:tbl>
    <w:p w:rsidR="0037320D" w:rsidRDefault="0037320D">
      <w:pPr>
        <w:spacing w:after="0"/>
      </w:pPr>
    </w:p>
    <w:p w:rsidR="0037320D" w:rsidRDefault="00536345" w:rsidP="00877171">
      <w:pPr>
        <w:jc w:val="both"/>
      </w:pPr>
      <w:r>
        <w:t xml:space="preserve">Rashodi za zaposlene su povećani u odnosu na izvještajno razdoblje prethodne godine za </w:t>
      </w:r>
      <w:r>
        <w:t>11,0% sukladno Odluci Vlade o povećanju osnovice za obračun plaće u javnim službama, povećanje osnovice je išlo u tri navrata u 2025. godini. </w:t>
      </w:r>
    </w:p>
    <w:p w:rsidR="0037320D" w:rsidRDefault="00536345" w:rsidP="00877171">
      <w:pPr>
        <w:jc w:val="both"/>
      </w:pPr>
      <w:r>
        <w:t>Rashodi za zaposlene čine 96,7% od ukupno ostvarenih prihoda u 2025. godini i oko 8% više od ostvarenih prihoda p</w:t>
      </w:r>
      <w:r>
        <w:t>o Ugovoru za obavljanje zdravstvene zaštite sa HZZO-om. </w:t>
      </w:r>
    </w:p>
    <w:p w:rsidR="0037320D" w:rsidRDefault="00536345" w:rsidP="00877171">
      <w:pPr>
        <w:jc w:val="both"/>
      </w:pPr>
      <w:r>
        <w:t xml:space="preserve">Bolnica je poštivala odredbe Kolektivnog ugovora o radu za djelatnost zdravstva i zdravstvenog osiguranja te je zaposlenicima isplatila sva prava za što nisu osigurana dodatna sredstva iz proračuna, </w:t>
      </w:r>
      <w:r>
        <w:t>već su se financirala iz osnovnog Ugovora. Bolnica je zaposlenicima isplatila Uskrsnicu, regres, dar za djecu i Božićnicu u propisanim iznosima.</w:t>
      </w:r>
    </w:p>
    <w:p w:rsidR="0037320D" w:rsidRDefault="00536345">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w:t>
            </w:r>
            <w:r>
              <w:rPr>
                <w:b/>
                <w:sz w:val="18"/>
              </w:rPr>
              <w:t>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3213</w:t>
            </w:r>
          </w:p>
        </w:tc>
        <w:tc>
          <w:tcPr>
            <w:tcW w:w="3180" w:type="dxa"/>
            <w:tcMar>
              <w:top w:w="0" w:type="dxa"/>
              <w:bottom w:w="0" w:type="dxa"/>
            </w:tcMar>
            <w:vAlign w:val="center"/>
          </w:tcPr>
          <w:p w:rsidR="0037320D" w:rsidRDefault="00536345">
            <w:pPr>
              <w:keepNext/>
              <w:keepLines/>
              <w:spacing w:after="0" w:line="240" w:lineRule="auto"/>
            </w:pPr>
            <w:r>
              <w:rPr>
                <w:sz w:val="18"/>
              </w:rPr>
              <w:t>Stručno usavršavanje zaposlenika</w:t>
            </w:r>
          </w:p>
        </w:tc>
        <w:tc>
          <w:tcPr>
            <w:tcW w:w="700" w:type="dxa"/>
            <w:tcMar>
              <w:top w:w="0" w:type="dxa"/>
              <w:bottom w:w="0" w:type="dxa"/>
            </w:tcMar>
            <w:vAlign w:val="center"/>
          </w:tcPr>
          <w:p w:rsidR="0037320D" w:rsidRDefault="00536345">
            <w:pPr>
              <w:keepNext/>
              <w:keepLines/>
              <w:spacing w:after="0" w:line="240" w:lineRule="auto"/>
            </w:pPr>
            <w:r>
              <w:rPr>
                <w:sz w:val="18"/>
              </w:rPr>
              <w:t>3213</w:t>
            </w:r>
          </w:p>
        </w:tc>
        <w:tc>
          <w:tcPr>
            <w:tcW w:w="1860" w:type="dxa"/>
            <w:tcMar>
              <w:top w:w="0" w:type="dxa"/>
              <w:bottom w:w="0" w:type="dxa"/>
            </w:tcMar>
            <w:vAlign w:val="center"/>
          </w:tcPr>
          <w:p w:rsidR="0037320D" w:rsidRDefault="00536345">
            <w:pPr>
              <w:keepNext/>
              <w:keepLines/>
              <w:spacing w:after="0" w:line="240" w:lineRule="auto"/>
              <w:jc w:val="right"/>
            </w:pPr>
            <w:r>
              <w:rPr>
                <w:sz w:val="18"/>
              </w:rPr>
              <w:t>22.880,56</w:t>
            </w:r>
          </w:p>
        </w:tc>
        <w:tc>
          <w:tcPr>
            <w:tcW w:w="1860" w:type="dxa"/>
            <w:tcMar>
              <w:top w:w="0" w:type="dxa"/>
              <w:bottom w:w="0" w:type="dxa"/>
            </w:tcMar>
            <w:vAlign w:val="center"/>
          </w:tcPr>
          <w:p w:rsidR="0037320D" w:rsidRDefault="00536345">
            <w:pPr>
              <w:keepNext/>
              <w:keepLines/>
              <w:spacing w:after="0" w:line="240" w:lineRule="auto"/>
              <w:jc w:val="right"/>
            </w:pPr>
            <w:r>
              <w:rPr>
                <w:sz w:val="18"/>
              </w:rPr>
              <w:t>29.400,50</w:t>
            </w:r>
          </w:p>
        </w:tc>
        <w:tc>
          <w:tcPr>
            <w:tcW w:w="700" w:type="dxa"/>
            <w:tcMar>
              <w:top w:w="0" w:type="dxa"/>
              <w:bottom w:w="0" w:type="dxa"/>
            </w:tcMar>
            <w:vAlign w:val="center"/>
          </w:tcPr>
          <w:p w:rsidR="0037320D" w:rsidRDefault="00536345">
            <w:pPr>
              <w:keepNext/>
              <w:keepLines/>
              <w:spacing w:after="0" w:line="240" w:lineRule="auto"/>
              <w:jc w:val="right"/>
            </w:pPr>
            <w:r>
              <w:rPr>
                <w:sz w:val="18"/>
              </w:rPr>
              <w:t>128,5</w:t>
            </w:r>
          </w:p>
        </w:tc>
      </w:tr>
    </w:tbl>
    <w:p w:rsidR="0037320D" w:rsidRDefault="0037320D">
      <w:pPr>
        <w:spacing w:after="0"/>
      </w:pPr>
    </w:p>
    <w:p w:rsidR="0037320D" w:rsidRDefault="00536345" w:rsidP="00877171">
      <w:pPr>
        <w:jc w:val="both"/>
      </w:pPr>
      <w:r>
        <w:t xml:space="preserve">Stručno usavršavanje zaposlenika ostvareno je u iznosu od 29.400,50 EUR i iznosi 28,5% više nego u izvještajnom razdoblju prethodne </w:t>
      </w:r>
      <w:r>
        <w:t>godine. Razlog povećanja je veći broj edukacija zaposlenika koje su se financirale iz primljenih donacija, a koje su također povećane u izvještajnom razdoblju. </w:t>
      </w:r>
    </w:p>
    <w:p w:rsidR="0037320D" w:rsidRDefault="0037320D"/>
    <w:p w:rsidR="0037320D" w:rsidRDefault="0053634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razdoblju </w:t>
            </w:r>
            <w:r>
              <w:rPr>
                <w:b/>
                <w:sz w:val="18"/>
              </w:rPr>
              <w:t>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3239</w:t>
            </w:r>
          </w:p>
        </w:tc>
        <w:tc>
          <w:tcPr>
            <w:tcW w:w="3180" w:type="dxa"/>
            <w:tcMar>
              <w:top w:w="0" w:type="dxa"/>
              <w:bottom w:w="0" w:type="dxa"/>
            </w:tcMar>
            <w:vAlign w:val="center"/>
          </w:tcPr>
          <w:p w:rsidR="0037320D" w:rsidRDefault="00536345">
            <w:pPr>
              <w:keepNext/>
              <w:keepLines/>
              <w:spacing w:after="0" w:line="240" w:lineRule="auto"/>
            </w:pPr>
            <w:r>
              <w:rPr>
                <w:sz w:val="18"/>
              </w:rPr>
              <w:t>Ostale usluge</w:t>
            </w:r>
          </w:p>
        </w:tc>
        <w:tc>
          <w:tcPr>
            <w:tcW w:w="700" w:type="dxa"/>
            <w:tcMar>
              <w:top w:w="0" w:type="dxa"/>
              <w:bottom w:w="0" w:type="dxa"/>
            </w:tcMar>
            <w:vAlign w:val="center"/>
          </w:tcPr>
          <w:p w:rsidR="0037320D" w:rsidRDefault="00536345">
            <w:pPr>
              <w:keepNext/>
              <w:keepLines/>
              <w:spacing w:after="0" w:line="240" w:lineRule="auto"/>
            </w:pPr>
            <w:r>
              <w:rPr>
                <w:sz w:val="18"/>
              </w:rPr>
              <w:t>3239</w:t>
            </w:r>
          </w:p>
        </w:tc>
        <w:tc>
          <w:tcPr>
            <w:tcW w:w="1860" w:type="dxa"/>
            <w:tcMar>
              <w:top w:w="0" w:type="dxa"/>
              <w:bottom w:w="0" w:type="dxa"/>
            </w:tcMar>
            <w:vAlign w:val="center"/>
          </w:tcPr>
          <w:p w:rsidR="0037320D" w:rsidRDefault="00536345">
            <w:pPr>
              <w:keepNext/>
              <w:keepLines/>
              <w:spacing w:after="0" w:line="240" w:lineRule="auto"/>
              <w:jc w:val="right"/>
            </w:pPr>
            <w:r>
              <w:rPr>
                <w:sz w:val="18"/>
              </w:rPr>
              <w:t>13.514,03</w:t>
            </w:r>
          </w:p>
        </w:tc>
        <w:tc>
          <w:tcPr>
            <w:tcW w:w="1860" w:type="dxa"/>
            <w:tcMar>
              <w:top w:w="0" w:type="dxa"/>
              <w:bottom w:w="0" w:type="dxa"/>
            </w:tcMar>
            <w:vAlign w:val="center"/>
          </w:tcPr>
          <w:p w:rsidR="0037320D" w:rsidRDefault="00536345">
            <w:pPr>
              <w:keepNext/>
              <w:keepLines/>
              <w:spacing w:after="0" w:line="240" w:lineRule="auto"/>
              <w:jc w:val="right"/>
            </w:pPr>
            <w:r>
              <w:rPr>
                <w:sz w:val="18"/>
              </w:rPr>
              <w:t>17.039,84</w:t>
            </w:r>
          </w:p>
        </w:tc>
        <w:tc>
          <w:tcPr>
            <w:tcW w:w="700" w:type="dxa"/>
            <w:tcMar>
              <w:top w:w="0" w:type="dxa"/>
              <w:bottom w:w="0" w:type="dxa"/>
            </w:tcMar>
            <w:vAlign w:val="center"/>
          </w:tcPr>
          <w:p w:rsidR="0037320D" w:rsidRDefault="00536345">
            <w:pPr>
              <w:keepNext/>
              <w:keepLines/>
              <w:spacing w:after="0" w:line="240" w:lineRule="auto"/>
              <w:jc w:val="right"/>
            </w:pPr>
            <w:r>
              <w:rPr>
                <w:sz w:val="18"/>
              </w:rPr>
              <w:t>126,1</w:t>
            </w:r>
          </w:p>
        </w:tc>
      </w:tr>
    </w:tbl>
    <w:p w:rsidR="0037320D" w:rsidRDefault="0037320D">
      <w:pPr>
        <w:spacing w:after="0"/>
      </w:pPr>
    </w:p>
    <w:p w:rsidR="0037320D" w:rsidRDefault="00536345" w:rsidP="00877171">
      <w:pPr>
        <w:jc w:val="both"/>
      </w:pPr>
      <w:r>
        <w:t xml:space="preserve">Ostale usluge iznose 17.039,84 EUR i povećane su u odnosu na izvještajno razdoblje prethodne godine 26,1%. Na ovoj stavci </w:t>
      </w:r>
      <w:r>
        <w:t>evidentirane su usluge snimanja edukativnih materijala stručnog rada zdravstvenog osoblja Specijalne bolnice Goljak i svjedočanstava roditelja čija su djeca liječena u bolnici u sklopu projekta "Implementacija ENVISAGE programa za roditelje djece s teškoća</w:t>
      </w:r>
      <w:r>
        <w:t>ma u razvoju pri Specijalnoj bolnici za zaštitu djece s neurorazvojnim i motoričkim smetnjama"</w:t>
      </w:r>
    </w:p>
    <w:p w:rsidR="0037320D" w:rsidRDefault="0037320D"/>
    <w:p w:rsidR="0037320D" w:rsidRDefault="00536345">
      <w:pPr>
        <w:keepNext/>
        <w:spacing w:line="240" w:lineRule="auto"/>
        <w:jc w:val="center"/>
      </w:pPr>
      <w:r>
        <w:rPr>
          <w:b/>
          <w:sz w:val="28"/>
        </w:rPr>
        <w:t>Bilanca</w:t>
      </w:r>
    </w:p>
    <w:p w:rsidR="0037320D" w:rsidRDefault="0053634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012</w:t>
            </w:r>
          </w:p>
        </w:tc>
        <w:tc>
          <w:tcPr>
            <w:tcW w:w="3180" w:type="dxa"/>
            <w:tcMar>
              <w:top w:w="0" w:type="dxa"/>
              <w:bottom w:w="0" w:type="dxa"/>
            </w:tcMar>
            <w:vAlign w:val="center"/>
          </w:tcPr>
          <w:p w:rsidR="0037320D" w:rsidRDefault="00536345">
            <w:pPr>
              <w:keepNext/>
              <w:keepLines/>
              <w:spacing w:after="0" w:line="240" w:lineRule="auto"/>
            </w:pPr>
            <w:r>
              <w:rPr>
                <w:sz w:val="18"/>
              </w:rPr>
              <w:t>Nematerijalna imovina</w:t>
            </w:r>
          </w:p>
        </w:tc>
        <w:tc>
          <w:tcPr>
            <w:tcW w:w="700" w:type="dxa"/>
            <w:tcMar>
              <w:top w:w="0" w:type="dxa"/>
              <w:bottom w:w="0" w:type="dxa"/>
            </w:tcMar>
            <w:vAlign w:val="center"/>
          </w:tcPr>
          <w:p w:rsidR="0037320D" w:rsidRDefault="00536345">
            <w:pPr>
              <w:keepNext/>
              <w:keepLines/>
              <w:spacing w:after="0" w:line="240" w:lineRule="auto"/>
            </w:pPr>
            <w:r>
              <w:rPr>
                <w:sz w:val="18"/>
              </w:rPr>
              <w:t>012</w:t>
            </w:r>
          </w:p>
        </w:tc>
        <w:tc>
          <w:tcPr>
            <w:tcW w:w="1860" w:type="dxa"/>
            <w:tcMar>
              <w:top w:w="0" w:type="dxa"/>
              <w:bottom w:w="0" w:type="dxa"/>
            </w:tcMar>
            <w:vAlign w:val="center"/>
          </w:tcPr>
          <w:p w:rsidR="0037320D" w:rsidRDefault="00536345">
            <w:pPr>
              <w:keepNext/>
              <w:keepLines/>
              <w:spacing w:after="0" w:line="240" w:lineRule="auto"/>
              <w:jc w:val="right"/>
            </w:pPr>
            <w:r>
              <w:rPr>
                <w:sz w:val="18"/>
              </w:rPr>
              <w:t>15.449,24</w:t>
            </w:r>
          </w:p>
        </w:tc>
        <w:tc>
          <w:tcPr>
            <w:tcW w:w="1860" w:type="dxa"/>
            <w:tcMar>
              <w:top w:w="0" w:type="dxa"/>
              <w:bottom w:w="0" w:type="dxa"/>
            </w:tcMar>
            <w:vAlign w:val="center"/>
          </w:tcPr>
          <w:p w:rsidR="0037320D" w:rsidRDefault="00536345">
            <w:pPr>
              <w:keepNext/>
              <w:keepLines/>
              <w:spacing w:after="0" w:line="240" w:lineRule="auto"/>
              <w:jc w:val="right"/>
            </w:pPr>
            <w:r>
              <w:rPr>
                <w:sz w:val="18"/>
              </w:rPr>
              <w:t>16.011,74</w:t>
            </w:r>
          </w:p>
        </w:tc>
        <w:tc>
          <w:tcPr>
            <w:tcW w:w="700" w:type="dxa"/>
            <w:tcMar>
              <w:top w:w="0" w:type="dxa"/>
              <w:bottom w:w="0" w:type="dxa"/>
            </w:tcMar>
            <w:vAlign w:val="center"/>
          </w:tcPr>
          <w:p w:rsidR="0037320D" w:rsidRDefault="00536345">
            <w:pPr>
              <w:keepNext/>
              <w:keepLines/>
              <w:spacing w:after="0" w:line="240" w:lineRule="auto"/>
              <w:jc w:val="right"/>
            </w:pPr>
            <w:r>
              <w:rPr>
                <w:sz w:val="18"/>
              </w:rPr>
              <w:t>103,6</w:t>
            </w:r>
          </w:p>
        </w:tc>
      </w:tr>
    </w:tbl>
    <w:p w:rsidR="0037320D" w:rsidRDefault="0037320D">
      <w:pPr>
        <w:spacing w:after="0"/>
      </w:pPr>
    </w:p>
    <w:p w:rsidR="0037320D" w:rsidRDefault="00536345">
      <w:r>
        <w:t>Neproizvedena dugotrajna imovina bilježi povećanje vrijednosti za 3,6% u odnosu na stanje 1. siječnja 2025. godine i iznosi 16.011,74 EUR jer je Bolnica tijekom godine nabavila novu licencu za Firewall.</w:t>
      </w:r>
    </w:p>
    <w:p w:rsidR="0037320D" w:rsidRDefault="00536345">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0221</w:t>
            </w:r>
          </w:p>
        </w:tc>
        <w:tc>
          <w:tcPr>
            <w:tcW w:w="3180" w:type="dxa"/>
            <w:tcMar>
              <w:top w:w="0" w:type="dxa"/>
              <w:bottom w:w="0" w:type="dxa"/>
            </w:tcMar>
            <w:vAlign w:val="center"/>
          </w:tcPr>
          <w:p w:rsidR="0037320D" w:rsidRDefault="00536345">
            <w:pPr>
              <w:keepNext/>
              <w:keepLines/>
              <w:spacing w:after="0" w:line="240" w:lineRule="auto"/>
            </w:pPr>
            <w:r>
              <w:rPr>
                <w:sz w:val="18"/>
              </w:rPr>
              <w:t>Uredska oprema i namještaj</w:t>
            </w:r>
          </w:p>
        </w:tc>
        <w:tc>
          <w:tcPr>
            <w:tcW w:w="700" w:type="dxa"/>
            <w:tcMar>
              <w:top w:w="0" w:type="dxa"/>
              <w:bottom w:w="0" w:type="dxa"/>
            </w:tcMar>
            <w:vAlign w:val="center"/>
          </w:tcPr>
          <w:p w:rsidR="0037320D" w:rsidRDefault="00536345">
            <w:pPr>
              <w:keepNext/>
              <w:keepLines/>
              <w:spacing w:after="0" w:line="240" w:lineRule="auto"/>
            </w:pPr>
            <w:r>
              <w:rPr>
                <w:sz w:val="18"/>
              </w:rPr>
              <w:t>0221</w:t>
            </w:r>
          </w:p>
        </w:tc>
        <w:tc>
          <w:tcPr>
            <w:tcW w:w="1860" w:type="dxa"/>
            <w:tcMar>
              <w:top w:w="0" w:type="dxa"/>
              <w:bottom w:w="0" w:type="dxa"/>
            </w:tcMar>
            <w:vAlign w:val="center"/>
          </w:tcPr>
          <w:p w:rsidR="0037320D" w:rsidRDefault="00536345">
            <w:pPr>
              <w:keepNext/>
              <w:keepLines/>
              <w:spacing w:after="0" w:line="240" w:lineRule="auto"/>
              <w:jc w:val="right"/>
            </w:pPr>
            <w:r>
              <w:rPr>
                <w:sz w:val="18"/>
              </w:rPr>
              <w:t>501.667,59</w:t>
            </w:r>
          </w:p>
        </w:tc>
        <w:tc>
          <w:tcPr>
            <w:tcW w:w="1860" w:type="dxa"/>
            <w:tcMar>
              <w:top w:w="0" w:type="dxa"/>
              <w:bottom w:w="0" w:type="dxa"/>
            </w:tcMar>
            <w:vAlign w:val="center"/>
          </w:tcPr>
          <w:p w:rsidR="0037320D" w:rsidRDefault="00536345">
            <w:pPr>
              <w:keepNext/>
              <w:keepLines/>
              <w:spacing w:after="0" w:line="240" w:lineRule="auto"/>
              <w:jc w:val="right"/>
            </w:pPr>
            <w:r>
              <w:rPr>
                <w:sz w:val="18"/>
              </w:rPr>
              <w:t>589.752,52</w:t>
            </w:r>
          </w:p>
        </w:tc>
        <w:tc>
          <w:tcPr>
            <w:tcW w:w="700" w:type="dxa"/>
            <w:tcMar>
              <w:top w:w="0" w:type="dxa"/>
              <w:bottom w:w="0" w:type="dxa"/>
            </w:tcMar>
            <w:vAlign w:val="center"/>
          </w:tcPr>
          <w:p w:rsidR="0037320D" w:rsidRDefault="00536345">
            <w:pPr>
              <w:keepNext/>
              <w:keepLines/>
              <w:spacing w:after="0" w:line="240" w:lineRule="auto"/>
              <w:jc w:val="right"/>
            </w:pPr>
            <w:r>
              <w:rPr>
                <w:sz w:val="18"/>
              </w:rPr>
              <w:t>117,6</w:t>
            </w:r>
          </w:p>
        </w:tc>
      </w:tr>
    </w:tbl>
    <w:p w:rsidR="0037320D" w:rsidRDefault="0037320D">
      <w:pPr>
        <w:spacing w:after="0"/>
      </w:pPr>
    </w:p>
    <w:p w:rsidR="0037320D" w:rsidRDefault="00536345" w:rsidP="00877171">
      <w:pPr>
        <w:jc w:val="both"/>
      </w:pPr>
      <w:r>
        <w:t xml:space="preserve">Uredska oprema i namještaj povećana je za 17,6% i iznosi 589.752,52 EUR. Nabavljen je novi namještaj u iznosu od 39.289,84 EUR koji </w:t>
      </w:r>
      <w:r>
        <w:t xml:space="preserve">je financiran iz sredstava decentralizacije i primljenih donacija. Također je na ovom kontu evidentirana i nabavljena računalna oprema u iznosu od 49.652,94 EUR. Najveći dio računalne opreme (komunikacijska pomagala, komunikatori i komunikacijski software </w:t>
      </w:r>
      <w:r>
        <w:t>i druga prateća oprema) u iznosu od 37.425,77 EUR nabavljen je sredstvima iz donacije Hrvatskog helsinškog odbora za ljudska prava. Iz sredstava decentralizacije nabavljena je računalna oprema u iznosu od 8.789,18 EUR, a iz redovnih sredstava računalna opr</w:t>
      </w:r>
      <w:r>
        <w:t>ema u iznosu od 3.437,99 EUR.</w:t>
      </w:r>
    </w:p>
    <w:p w:rsidR="0037320D" w:rsidRDefault="00536345" w:rsidP="00877171">
      <w:pPr>
        <w:jc w:val="both"/>
      </w:pPr>
      <w:r>
        <w:t>Na ovoj stavci evidentiran je i rashod uredskog namještaja (zbog dotrajalosti) u iznosu od 857,85 EUR. </w:t>
      </w:r>
    </w:p>
    <w:p w:rsidR="0037320D" w:rsidRDefault="0053634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0224</w:t>
            </w:r>
          </w:p>
        </w:tc>
        <w:tc>
          <w:tcPr>
            <w:tcW w:w="3180" w:type="dxa"/>
            <w:tcMar>
              <w:top w:w="0" w:type="dxa"/>
              <w:bottom w:w="0" w:type="dxa"/>
            </w:tcMar>
            <w:vAlign w:val="center"/>
          </w:tcPr>
          <w:p w:rsidR="0037320D" w:rsidRDefault="00536345">
            <w:pPr>
              <w:keepNext/>
              <w:keepLines/>
              <w:spacing w:after="0" w:line="240" w:lineRule="auto"/>
            </w:pPr>
            <w:r>
              <w:rPr>
                <w:sz w:val="18"/>
              </w:rPr>
              <w:t xml:space="preserve">Medicinska i </w:t>
            </w:r>
            <w:r>
              <w:rPr>
                <w:sz w:val="18"/>
              </w:rPr>
              <w:t>laboratorijska oprema</w:t>
            </w:r>
          </w:p>
        </w:tc>
        <w:tc>
          <w:tcPr>
            <w:tcW w:w="700" w:type="dxa"/>
            <w:tcMar>
              <w:top w:w="0" w:type="dxa"/>
              <w:bottom w:w="0" w:type="dxa"/>
            </w:tcMar>
            <w:vAlign w:val="center"/>
          </w:tcPr>
          <w:p w:rsidR="0037320D" w:rsidRDefault="00536345">
            <w:pPr>
              <w:keepNext/>
              <w:keepLines/>
              <w:spacing w:after="0" w:line="240" w:lineRule="auto"/>
            </w:pPr>
            <w:r>
              <w:rPr>
                <w:sz w:val="18"/>
              </w:rPr>
              <w:t>0224</w:t>
            </w:r>
          </w:p>
        </w:tc>
        <w:tc>
          <w:tcPr>
            <w:tcW w:w="1860" w:type="dxa"/>
            <w:tcMar>
              <w:top w:w="0" w:type="dxa"/>
              <w:bottom w:w="0" w:type="dxa"/>
            </w:tcMar>
            <w:vAlign w:val="center"/>
          </w:tcPr>
          <w:p w:rsidR="0037320D" w:rsidRDefault="00536345">
            <w:pPr>
              <w:keepNext/>
              <w:keepLines/>
              <w:spacing w:after="0" w:line="240" w:lineRule="auto"/>
              <w:jc w:val="right"/>
            </w:pPr>
            <w:r>
              <w:rPr>
                <w:sz w:val="18"/>
              </w:rPr>
              <w:t>1.803.437,27</w:t>
            </w:r>
          </w:p>
        </w:tc>
        <w:tc>
          <w:tcPr>
            <w:tcW w:w="1860" w:type="dxa"/>
            <w:tcMar>
              <w:top w:w="0" w:type="dxa"/>
              <w:bottom w:w="0" w:type="dxa"/>
            </w:tcMar>
            <w:vAlign w:val="center"/>
          </w:tcPr>
          <w:p w:rsidR="0037320D" w:rsidRDefault="00536345">
            <w:pPr>
              <w:keepNext/>
              <w:keepLines/>
              <w:spacing w:after="0" w:line="240" w:lineRule="auto"/>
              <w:jc w:val="right"/>
            </w:pPr>
            <w:r>
              <w:rPr>
                <w:sz w:val="18"/>
              </w:rPr>
              <w:t>1.830.408,07</w:t>
            </w:r>
          </w:p>
        </w:tc>
        <w:tc>
          <w:tcPr>
            <w:tcW w:w="700" w:type="dxa"/>
            <w:tcMar>
              <w:top w:w="0" w:type="dxa"/>
              <w:bottom w:w="0" w:type="dxa"/>
            </w:tcMar>
            <w:vAlign w:val="center"/>
          </w:tcPr>
          <w:p w:rsidR="0037320D" w:rsidRDefault="00536345">
            <w:pPr>
              <w:keepNext/>
              <w:keepLines/>
              <w:spacing w:after="0" w:line="240" w:lineRule="auto"/>
              <w:jc w:val="right"/>
            </w:pPr>
            <w:r>
              <w:rPr>
                <w:sz w:val="18"/>
              </w:rPr>
              <w:t>101,5</w:t>
            </w:r>
          </w:p>
        </w:tc>
      </w:tr>
    </w:tbl>
    <w:p w:rsidR="0037320D" w:rsidRDefault="0037320D">
      <w:pPr>
        <w:spacing w:after="0"/>
      </w:pPr>
    </w:p>
    <w:p w:rsidR="0037320D" w:rsidRDefault="00536345" w:rsidP="00877171">
      <w:pPr>
        <w:jc w:val="both"/>
      </w:pPr>
      <w:r>
        <w:t xml:space="preserve">Medicinska i laboratorijska oprema povećana je za 1,5% u odnosu na izvještajno razdoblje prethodne godine. U izvještajnom razdoblju nabavljena je medicinska oprema ( Sprava za procjenu mišićne </w:t>
      </w:r>
      <w:r>
        <w:t>snage i trening dostupna invalidskim kolicima, sprava za aerobni trening, strunjače raznih dimenzija, madraci s zaštitnom navlakom za krevet, digitalni logopedski set, set za terapiju kisikom, Bobath stolovi, terapijski stolac za djecu, stol internistički,</w:t>
      </w:r>
      <w:r>
        <w:t xml:space="preserve"> testovi za logopede i psihologe ) u iznosu od 51.095,02 EUR, a rashodovan je dio medicinske opreme zbog zastarjelosti i neispravnosti u iznosu od 23.458,96 EUR ( UZV i razne strunjače ).</w:t>
      </w:r>
    </w:p>
    <w:p w:rsidR="0037320D" w:rsidRDefault="0037320D"/>
    <w:p w:rsidR="0037320D" w:rsidRDefault="00536345">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Stanje 1. </w:t>
            </w:r>
            <w:r>
              <w:rPr>
                <w:b/>
                <w:sz w:val="18"/>
              </w:rPr>
              <w:t>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0227</w:t>
            </w:r>
          </w:p>
        </w:tc>
        <w:tc>
          <w:tcPr>
            <w:tcW w:w="3180" w:type="dxa"/>
            <w:tcMar>
              <w:top w:w="0" w:type="dxa"/>
              <w:bottom w:w="0" w:type="dxa"/>
            </w:tcMar>
            <w:vAlign w:val="center"/>
          </w:tcPr>
          <w:p w:rsidR="0037320D" w:rsidRDefault="00536345">
            <w:pPr>
              <w:keepNext/>
              <w:keepLines/>
              <w:spacing w:after="0" w:line="240" w:lineRule="auto"/>
            </w:pPr>
            <w:r>
              <w:rPr>
                <w:sz w:val="18"/>
              </w:rPr>
              <w:t>Uređaji, strojevi i oprema za ostale namjene</w:t>
            </w:r>
          </w:p>
        </w:tc>
        <w:tc>
          <w:tcPr>
            <w:tcW w:w="700" w:type="dxa"/>
            <w:tcMar>
              <w:top w:w="0" w:type="dxa"/>
              <w:bottom w:w="0" w:type="dxa"/>
            </w:tcMar>
            <w:vAlign w:val="center"/>
          </w:tcPr>
          <w:p w:rsidR="0037320D" w:rsidRDefault="00536345">
            <w:pPr>
              <w:keepNext/>
              <w:keepLines/>
              <w:spacing w:after="0" w:line="240" w:lineRule="auto"/>
            </w:pPr>
            <w:r>
              <w:rPr>
                <w:sz w:val="18"/>
              </w:rPr>
              <w:t>0227</w:t>
            </w:r>
          </w:p>
        </w:tc>
        <w:tc>
          <w:tcPr>
            <w:tcW w:w="1860" w:type="dxa"/>
            <w:tcMar>
              <w:top w:w="0" w:type="dxa"/>
              <w:bottom w:w="0" w:type="dxa"/>
            </w:tcMar>
            <w:vAlign w:val="center"/>
          </w:tcPr>
          <w:p w:rsidR="0037320D" w:rsidRDefault="00536345">
            <w:pPr>
              <w:keepNext/>
              <w:keepLines/>
              <w:spacing w:after="0" w:line="240" w:lineRule="auto"/>
              <w:jc w:val="right"/>
            </w:pPr>
            <w:r>
              <w:rPr>
                <w:sz w:val="18"/>
              </w:rPr>
              <w:t>230.718,44</w:t>
            </w:r>
          </w:p>
        </w:tc>
        <w:tc>
          <w:tcPr>
            <w:tcW w:w="1860" w:type="dxa"/>
            <w:tcMar>
              <w:top w:w="0" w:type="dxa"/>
              <w:bottom w:w="0" w:type="dxa"/>
            </w:tcMar>
            <w:vAlign w:val="center"/>
          </w:tcPr>
          <w:p w:rsidR="0037320D" w:rsidRDefault="00536345">
            <w:pPr>
              <w:keepNext/>
              <w:keepLines/>
              <w:spacing w:after="0" w:line="240" w:lineRule="auto"/>
              <w:jc w:val="right"/>
            </w:pPr>
            <w:r>
              <w:rPr>
                <w:sz w:val="18"/>
              </w:rPr>
              <w:t>235.622,93</w:t>
            </w:r>
          </w:p>
        </w:tc>
        <w:tc>
          <w:tcPr>
            <w:tcW w:w="700" w:type="dxa"/>
            <w:tcMar>
              <w:top w:w="0" w:type="dxa"/>
              <w:bottom w:w="0" w:type="dxa"/>
            </w:tcMar>
            <w:vAlign w:val="center"/>
          </w:tcPr>
          <w:p w:rsidR="0037320D" w:rsidRDefault="00536345">
            <w:pPr>
              <w:keepNext/>
              <w:keepLines/>
              <w:spacing w:after="0" w:line="240" w:lineRule="auto"/>
              <w:jc w:val="right"/>
            </w:pPr>
            <w:r>
              <w:rPr>
                <w:sz w:val="18"/>
              </w:rPr>
              <w:t>102,1</w:t>
            </w:r>
          </w:p>
        </w:tc>
      </w:tr>
    </w:tbl>
    <w:p w:rsidR="0037320D" w:rsidRDefault="0037320D">
      <w:pPr>
        <w:spacing w:after="0"/>
      </w:pPr>
    </w:p>
    <w:p w:rsidR="0037320D" w:rsidRDefault="00536345" w:rsidP="00877171">
      <w:pPr>
        <w:jc w:val="both"/>
      </w:pPr>
      <w:r>
        <w:t xml:space="preserve">Uređaji, strojevi i oprema za ostale namjene povećani su za 2,1% u odnosu na izvještajno razdoblje prethodne godine i iznose </w:t>
      </w:r>
      <w:r>
        <w:t>235.622,93 EUR. U izvještajnom razdoblju nabavljen je profesionalni hladnjak i hladnjak za pohranu mliječnih obroka u iznosu od 4.904,49 EUR.</w:t>
      </w:r>
    </w:p>
    <w:p w:rsidR="0037320D" w:rsidRDefault="0037320D"/>
    <w:p w:rsidR="0037320D" w:rsidRDefault="00536345">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0262</w:t>
            </w:r>
          </w:p>
        </w:tc>
        <w:tc>
          <w:tcPr>
            <w:tcW w:w="3180" w:type="dxa"/>
            <w:tcMar>
              <w:top w:w="0" w:type="dxa"/>
              <w:bottom w:w="0" w:type="dxa"/>
            </w:tcMar>
            <w:vAlign w:val="center"/>
          </w:tcPr>
          <w:p w:rsidR="0037320D" w:rsidRDefault="00536345">
            <w:pPr>
              <w:keepNext/>
              <w:keepLines/>
              <w:spacing w:after="0" w:line="240" w:lineRule="auto"/>
            </w:pPr>
            <w:r>
              <w:rPr>
                <w:sz w:val="18"/>
              </w:rPr>
              <w:t>Ulaganja u računalne programe</w:t>
            </w:r>
          </w:p>
        </w:tc>
        <w:tc>
          <w:tcPr>
            <w:tcW w:w="700" w:type="dxa"/>
            <w:tcMar>
              <w:top w:w="0" w:type="dxa"/>
              <w:bottom w:w="0" w:type="dxa"/>
            </w:tcMar>
            <w:vAlign w:val="center"/>
          </w:tcPr>
          <w:p w:rsidR="0037320D" w:rsidRDefault="00536345">
            <w:pPr>
              <w:keepNext/>
              <w:keepLines/>
              <w:spacing w:after="0" w:line="240" w:lineRule="auto"/>
            </w:pPr>
            <w:r>
              <w:rPr>
                <w:sz w:val="18"/>
              </w:rPr>
              <w:t>0262</w:t>
            </w:r>
          </w:p>
        </w:tc>
        <w:tc>
          <w:tcPr>
            <w:tcW w:w="1860" w:type="dxa"/>
            <w:tcMar>
              <w:top w:w="0" w:type="dxa"/>
              <w:bottom w:w="0" w:type="dxa"/>
            </w:tcMar>
            <w:vAlign w:val="center"/>
          </w:tcPr>
          <w:p w:rsidR="0037320D" w:rsidRDefault="00536345">
            <w:pPr>
              <w:keepNext/>
              <w:keepLines/>
              <w:spacing w:after="0" w:line="240" w:lineRule="auto"/>
              <w:jc w:val="right"/>
            </w:pPr>
            <w:r>
              <w:rPr>
                <w:sz w:val="18"/>
              </w:rPr>
              <w:t>101.634,68</w:t>
            </w:r>
          </w:p>
        </w:tc>
        <w:tc>
          <w:tcPr>
            <w:tcW w:w="1860" w:type="dxa"/>
            <w:tcMar>
              <w:top w:w="0" w:type="dxa"/>
              <w:bottom w:w="0" w:type="dxa"/>
            </w:tcMar>
            <w:vAlign w:val="center"/>
          </w:tcPr>
          <w:p w:rsidR="0037320D" w:rsidRDefault="00536345">
            <w:pPr>
              <w:keepNext/>
              <w:keepLines/>
              <w:spacing w:after="0" w:line="240" w:lineRule="auto"/>
              <w:jc w:val="right"/>
            </w:pPr>
            <w:r>
              <w:rPr>
                <w:sz w:val="18"/>
              </w:rPr>
              <w:t>104.574,68</w:t>
            </w:r>
          </w:p>
        </w:tc>
        <w:tc>
          <w:tcPr>
            <w:tcW w:w="700" w:type="dxa"/>
            <w:tcMar>
              <w:top w:w="0" w:type="dxa"/>
              <w:bottom w:w="0" w:type="dxa"/>
            </w:tcMar>
            <w:vAlign w:val="center"/>
          </w:tcPr>
          <w:p w:rsidR="0037320D" w:rsidRDefault="00536345">
            <w:pPr>
              <w:keepNext/>
              <w:keepLines/>
              <w:spacing w:after="0" w:line="240" w:lineRule="auto"/>
              <w:jc w:val="right"/>
            </w:pPr>
            <w:r>
              <w:rPr>
                <w:sz w:val="18"/>
              </w:rPr>
              <w:t>102,9</w:t>
            </w:r>
          </w:p>
        </w:tc>
      </w:tr>
    </w:tbl>
    <w:p w:rsidR="0037320D" w:rsidRDefault="0037320D">
      <w:pPr>
        <w:spacing w:after="0"/>
      </w:pPr>
    </w:p>
    <w:p w:rsidR="0037320D" w:rsidRDefault="00536345" w:rsidP="00877171">
      <w:pPr>
        <w:jc w:val="both"/>
      </w:pPr>
      <w:r>
        <w:t>Ulaganja u računalne programe povećano je za 2,9%, odnosno 2.940,00 EUR u odnosu na izvještajno razdoblje prethodne godine, a odnosi se na software za EEG.</w:t>
      </w:r>
    </w:p>
    <w:p w:rsidR="0037320D" w:rsidRDefault="0037320D"/>
    <w:p w:rsidR="0037320D" w:rsidRDefault="00536345">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11</w:t>
            </w:r>
          </w:p>
        </w:tc>
        <w:tc>
          <w:tcPr>
            <w:tcW w:w="3180" w:type="dxa"/>
            <w:tcMar>
              <w:top w:w="0" w:type="dxa"/>
              <w:bottom w:w="0" w:type="dxa"/>
            </w:tcMar>
            <w:vAlign w:val="center"/>
          </w:tcPr>
          <w:p w:rsidR="0037320D" w:rsidRDefault="00536345">
            <w:pPr>
              <w:keepNext/>
              <w:keepLines/>
              <w:spacing w:after="0" w:line="240" w:lineRule="auto"/>
            </w:pPr>
            <w:r>
              <w:rPr>
                <w:sz w:val="18"/>
              </w:rPr>
              <w:t>Novac u banci i blagajni (šifre 111+112 do 114)</w:t>
            </w:r>
          </w:p>
        </w:tc>
        <w:tc>
          <w:tcPr>
            <w:tcW w:w="700" w:type="dxa"/>
            <w:tcMar>
              <w:top w:w="0" w:type="dxa"/>
              <w:bottom w:w="0" w:type="dxa"/>
            </w:tcMar>
            <w:vAlign w:val="center"/>
          </w:tcPr>
          <w:p w:rsidR="0037320D" w:rsidRDefault="00536345">
            <w:pPr>
              <w:keepNext/>
              <w:keepLines/>
              <w:spacing w:after="0" w:line="240" w:lineRule="auto"/>
            </w:pPr>
            <w:r>
              <w:rPr>
                <w:sz w:val="18"/>
              </w:rPr>
              <w:t>11</w:t>
            </w:r>
          </w:p>
        </w:tc>
        <w:tc>
          <w:tcPr>
            <w:tcW w:w="1860" w:type="dxa"/>
            <w:tcMar>
              <w:top w:w="0" w:type="dxa"/>
              <w:bottom w:w="0" w:type="dxa"/>
            </w:tcMar>
            <w:vAlign w:val="center"/>
          </w:tcPr>
          <w:p w:rsidR="0037320D" w:rsidRDefault="00536345">
            <w:pPr>
              <w:keepNext/>
              <w:keepLines/>
              <w:spacing w:after="0" w:line="240" w:lineRule="auto"/>
              <w:jc w:val="right"/>
            </w:pPr>
            <w:r>
              <w:rPr>
                <w:sz w:val="18"/>
              </w:rPr>
              <w:t>296.105,95</w:t>
            </w:r>
          </w:p>
        </w:tc>
        <w:tc>
          <w:tcPr>
            <w:tcW w:w="1860" w:type="dxa"/>
            <w:tcMar>
              <w:top w:w="0" w:type="dxa"/>
              <w:bottom w:w="0" w:type="dxa"/>
            </w:tcMar>
            <w:vAlign w:val="center"/>
          </w:tcPr>
          <w:p w:rsidR="0037320D" w:rsidRDefault="00536345">
            <w:pPr>
              <w:keepNext/>
              <w:keepLines/>
              <w:spacing w:after="0" w:line="240" w:lineRule="auto"/>
              <w:jc w:val="right"/>
            </w:pPr>
            <w:r>
              <w:rPr>
                <w:sz w:val="18"/>
              </w:rPr>
              <w:t>219.760,17</w:t>
            </w:r>
          </w:p>
        </w:tc>
        <w:tc>
          <w:tcPr>
            <w:tcW w:w="700" w:type="dxa"/>
            <w:tcMar>
              <w:top w:w="0" w:type="dxa"/>
              <w:bottom w:w="0" w:type="dxa"/>
            </w:tcMar>
            <w:vAlign w:val="center"/>
          </w:tcPr>
          <w:p w:rsidR="0037320D" w:rsidRDefault="00536345">
            <w:pPr>
              <w:keepNext/>
              <w:keepLines/>
              <w:spacing w:after="0" w:line="240" w:lineRule="auto"/>
              <w:jc w:val="right"/>
            </w:pPr>
            <w:r>
              <w:rPr>
                <w:sz w:val="18"/>
              </w:rPr>
              <w:t>74,2</w:t>
            </w:r>
          </w:p>
        </w:tc>
      </w:tr>
    </w:tbl>
    <w:p w:rsidR="0037320D" w:rsidRDefault="0037320D">
      <w:pPr>
        <w:spacing w:after="0"/>
      </w:pPr>
    </w:p>
    <w:p w:rsidR="0037320D" w:rsidRDefault="00536345" w:rsidP="00877171">
      <w:pPr>
        <w:jc w:val="both"/>
      </w:pPr>
      <w:r>
        <w:t>Saldo na žiro računu na dan 31.12.2025. godine iznosi 219.760,17 EUR, a u blagajni 62,65 EUR i ukupno je</w:t>
      </w:r>
      <w:r>
        <w:t xml:space="preserve"> manji za 25,8% u odnosu na stanje 01.01.2025. godine. Salda su usklađena sa poslovnom bankom, a za gotovinu u blagajni je obavljen godišnji popis te nisu utvrđeni viškovi ni manjkovi.  </w:t>
      </w:r>
    </w:p>
    <w:p w:rsidR="0037320D" w:rsidRDefault="00536345">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12</w:t>
            </w:r>
          </w:p>
        </w:tc>
        <w:tc>
          <w:tcPr>
            <w:tcW w:w="3180" w:type="dxa"/>
            <w:tcMar>
              <w:top w:w="0" w:type="dxa"/>
              <w:bottom w:w="0" w:type="dxa"/>
            </w:tcMar>
            <w:vAlign w:val="center"/>
          </w:tcPr>
          <w:p w:rsidR="0037320D" w:rsidRDefault="00536345">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rsidR="0037320D" w:rsidRDefault="00536345">
            <w:pPr>
              <w:keepNext/>
              <w:keepLines/>
              <w:spacing w:after="0" w:line="240" w:lineRule="auto"/>
            </w:pPr>
            <w:r>
              <w:rPr>
                <w:sz w:val="18"/>
              </w:rPr>
              <w:t>12</w:t>
            </w:r>
          </w:p>
        </w:tc>
        <w:tc>
          <w:tcPr>
            <w:tcW w:w="1860" w:type="dxa"/>
            <w:tcMar>
              <w:top w:w="0" w:type="dxa"/>
              <w:bottom w:w="0" w:type="dxa"/>
            </w:tcMar>
            <w:vAlign w:val="center"/>
          </w:tcPr>
          <w:p w:rsidR="0037320D" w:rsidRDefault="00536345">
            <w:pPr>
              <w:keepNext/>
              <w:keepLines/>
              <w:spacing w:after="0" w:line="240" w:lineRule="auto"/>
              <w:jc w:val="right"/>
            </w:pPr>
            <w:r>
              <w:rPr>
                <w:sz w:val="18"/>
              </w:rPr>
              <w:t>21.585,78</w:t>
            </w:r>
          </w:p>
        </w:tc>
        <w:tc>
          <w:tcPr>
            <w:tcW w:w="1860" w:type="dxa"/>
            <w:tcMar>
              <w:top w:w="0" w:type="dxa"/>
              <w:bottom w:w="0" w:type="dxa"/>
            </w:tcMar>
            <w:vAlign w:val="center"/>
          </w:tcPr>
          <w:p w:rsidR="0037320D" w:rsidRDefault="00536345">
            <w:pPr>
              <w:keepNext/>
              <w:keepLines/>
              <w:spacing w:after="0" w:line="240" w:lineRule="auto"/>
              <w:jc w:val="right"/>
            </w:pPr>
            <w:r>
              <w:rPr>
                <w:sz w:val="18"/>
              </w:rPr>
              <w:t>30.371,21</w:t>
            </w:r>
          </w:p>
        </w:tc>
        <w:tc>
          <w:tcPr>
            <w:tcW w:w="700" w:type="dxa"/>
            <w:tcMar>
              <w:top w:w="0" w:type="dxa"/>
              <w:bottom w:w="0" w:type="dxa"/>
            </w:tcMar>
            <w:vAlign w:val="center"/>
          </w:tcPr>
          <w:p w:rsidR="0037320D" w:rsidRDefault="00536345">
            <w:pPr>
              <w:keepNext/>
              <w:keepLines/>
              <w:spacing w:after="0" w:line="240" w:lineRule="auto"/>
              <w:jc w:val="right"/>
            </w:pPr>
            <w:r>
              <w:rPr>
                <w:sz w:val="18"/>
              </w:rPr>
              <w:t>140,7</w:t>
            </w:r>
          </w:p>
        </w:tc>
      </w:tr>
    </w:tbl>
    <w:p w:rsidR="0037320D" w:rsidRDefault="0037320D">
      <w:pPr>
        <w:spacing w:after="0"/>
      </w:pPr>
    </w:p>
    <w:p w:rsidR="0037320D" w:rsidRDefault="00536345" w:rsidP="00877171">
      <w:pPr>
        <w:jc w:val="both"/>
      </w:pPr>
      <w:r>
        <w:t xml:space="preserve">Saldo potraživanja za jamčevne pologe, od zaposlenih te za više plaćene </w:t>
      </w:r>
      <w:r>
        <w:t>poreze i ostalo povećan je za 40,7% u odnosu na početno razdoblje, a sastoji se od potraživanja za isplaćene naknade bolovanja od HZZO-a i potraživanja za više plaćene poreze i ostalo. Potraživanje je povećano uslijed povećanog broja bolovanja u prosincu t</w:t>
      </w:r>
      <w:r>
        <w:t>ekuće godine. </w:t>
      </w:r>
    </w:p>
    <w:p w:rsidR="0037320D" w:rsidRDefault="00536345">
      <w:r>
        <w:t> </w:t>
      </w:r>
    </w:p>
    <w:p w:rsidR="0037320D" w:rsidRDefault="00536345">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163</w:t>
            </w:r>
          </w:p>
        </w:tc>
        <w:tc>
          <w:tcPr>
            <w:tcW w:w="3180" w:type="dxa"/>
            <w:tcMar>
              <w:top w:w="0" w:type="dxa"/>
              <w:bottom w:w="0" w:type="dxa"/>
            </w:tcMar>
            <w:vAlign w:val="center"/>
          </w:tcPr>
          <w:p w:rsidR="0037320D" w:rsidRDefault="00536345">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rsidR="0037320D" w:rsidRDefault="00536345">
            <w:pPr>
              <w:keepNext/>
              <w:keepLines/>
              <w:spacing w:after="0" w:line="240" w:lineRule="auto"/>
            </w:pPr>
            <w:r>
              <w:rPr>
                <w:sz w:val="18"/>
              </w:rPr>
              <w:t>163</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15.682,71</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
        <w:t xml:space="preserve">Potraživanja </w:t>
      </w:r>
      <w:r>
        <w:t>za pomoći od izvanproračunskih korisnika povećana su za 100% u odnosu na početak razdoblja. Razlog povećanja u ovoj godini je novi način financiranja pripravnika putem HZZO-a koji su se do sada financirali putem HZZ.</w:t>
      </w:r>
    </w:p>
    <w:p w:rsidR="0037320D" w:rsidRDefault="00536345">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Opis </w:t>
            </w:r>
            <w:r>
              <w:rPr>
                <w:b/>
                <w:sz w:val="18"/>
              </w:rPr>
              <w:t>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1634</w:t>
            </w:r>
          </w:p>
        </w:tc>
        <w:tc>
          <w:tcPr>
            <w:tcW w:w="3180" w:type="dxa"/>
            <w:tcMar>
              <w:top w:w="0" w:type="dxa"/>
              <w:bottom w:w="0" w:type="dxa"/>
            </w:tcMar>
            <w:vAlign w:val="center"/>
          </w:tcPr>
          <w:p w:rsidR="0037320D" w:rsidRDefault="00536345">
            <w:pPr>
              <w:keepNext/>
              <w:keepLines/>
              <w:spacing w:after="0" w:line="240" w:lineRule="auto"/>
            </w:pPr>
            <w:r>
              <w:rPr>
                <w:sz w:val="18"/>
              </w:rPr>
              <w:t>Potraživanja za pomoći od izvanproračunskih korisnika</w:t>
            </w:r>
          </w:p>
        </w:tc>
        <w:tc>
          <w:tcPr>
            <w:tcW w:w="700" w:type="dxa"/>
            <w:tcMar>
              <w:top w:w="0" w:type="dxa"/>
              <w:bottom w:w="0" w:type="dxa"/>
            </w:tcMar>
            <w:vAlign w:val="center"/>
          </w:tcPr>
          <w:p w:rsidR="0037320D" w:rsidRDefault="00536345">
            <w:pPr>
              <w:keepNext/>
              <w:keepLines/>
              <w:spacing w:after="0" w:line="240" w:lineRule="auto"/>
            </w:pPr>
            <w:r>
              <w:rPr>
                <w:sz w:val="18"/>
              </w:rPr>
              <w:t>1634</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15.682,71</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
        <w:t xml:space="preserve">Potraživanja za pomoći od izvanproračunskih korisnika povećana su za 100% u odnosu na početak razdoblja. </w:t>
      </w:r>
      <w:r>
        <w:t>Razlog povećanja u ovoj godini je novi način financiranja pripravnika putem HZZO-a koji su se do sada financirali putem HZZ.</w:t>
      </w:r>
    </w:p>
    <w:p w:rsidR="0037320D" w:rsidRDefault="0037320D"/>
    <w:p w:rsidR="0037320D" w:rsidRDefault="00536345">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165</w:t>
            </w:r>
          </w:p>
        </w:tc>
        <w:tc>
          <w:tcPr>
            <w:tcW w:w="3180" w:type="dxa"/>
            <w:tcMar>
              <w:top w:w="0" w:type="dxa"/>
              <w:bottom w:w="0" w:type="dxa"/>
            </w:tcMar>
            <w:vAlign w:val="center"/>
          </w:tcPr>
          <w:p w:rsidR="0037320D" w:rsidRDefault="00536345">
            <w:pPr>
              <w:keepNext/>
              <w:keepLines/>
              <w:spacing w:after="0" w:line="240" w:lineRule="auto"/>
            </w:pPr>
            <w:r>
              <w:rPr>
                <w:sz w:val="18"/>
              </w:rPr>
              <w:t xml:space="preserve">Potraživanja za upravne </w:t>
            </w:r>
            <w:r>
              <w:rPr>
                <w:sz w:val="18"/>
              </w:rPr>
              <w:t>i administrativne pristojbe, pristojbe po posebnim propisima i naknade</w:t>
            </w:r>
          </w:p>
        </w:tc>
        <w:tc>
          <w:tcPr>
            <w:tcW w:w="700" w:type="dxa"/>
            <w:tcMar>
              <w:top w:w="0" w:type="dxa"/>
              <w:bottom w:w="0" w:type="dxa"/>
            </w:tcMar>
            <w:vAlign w:val="center"/>
          </w:tcPr>
          <w:p w:rsidR="0037320D" w:rsidRDefault="00536345">
            <w:pPr>
              <w:keepNext/>
              <w:keepLines/>
              <w:spacing w:after="0" w:line="240" w:lineRule="auto"/>
            </w:pPr>
            <w:r>
              <w:rPr>
                <w:sz w:val="18"/>
              </w:rPr>
              <w:t>165</w:t>
            </w:r>
          </w:p>
        </w:tc>
        <w:tc>
          <w:tcPr>
            <w:tcW w:w="1860" w:type="dxa"/>
            <w:tcMar>
              <w:top w:w="0" w:type="dxa"/>
              <w:bottom w:w="0" w:type="dxa"/>
            </w:tcMar>
            <w:vAlign w:val="center"/>
          </w:tcPr>
          <w:p w:rsidR="0037320D" w:rsidRDefault="00536345">
            <w:pPr>
              <w:keepNext/>
              <w:keepLines/>
              <w:spacing w:after="0" w:line="240" w:lineRule="auto"/>
              <w:jc w:val="right"/>
            </w:pPr>
            <w:r>
              <w:rPr>
                <w:sz w:val="18"/>
              </w:rPr>
              <w:t>2.642,57</w:t>
            </w:r>
          </w:p>
        </w:tc>
        <w:tc>
          <w:tcPr>
            <w:tcW w:w="1860" w:type="dxa"/>
            <w:tcMar>
              <w:top w:w="0" w:type="dxa"/>
              <w:bottom w:w="0" w:type="dxa"/>
            </w:tcMar>
            <w:vAlign w:val="center"/>
          </w:tcPr>
          <w:p w:rsidR="0037320D" w:rsidRDefault="00536345">
            <w:pPr>
              <w:keepNext/>
              <w:keepLines/>
              <w:spacing w:after="0" w:line="240" w:lineRule="auto"/>
              <w:jc w:val="right"/>
            </w:pPr>
            <w:r>
              <w:rPr>
                <w:sz w:val="18"/>
              </w:rPr>
              <w:t>9.125,85</w:t>
            </w:r>
          </w:p>
        </w:tc>
        <w:tc>
          <w:tcPr>
            <w:tcW w:w="700" w:type="dxa"/>
            <w:tcMar>
              <w:top w:w="0" w:type="dxa"/>
              <w:bottom w:w="0" w:type="dxa"/>
            </w:tcMar>
            <w:vAlign w:val="center"/>
          </w:tcPr>
          <w:p w:rsidR="0037320D" w:rsidRDefault="00536345">
            <w:pPr>
              <w:keepNext/>
              <w:keepLines/>
              <w:spacing w:after="0" w:line="240" w:lineRule="auto"/>
              <w:jc w:val="right"/>
            </w:pPr>
            <w:r>
              <w:rPr>
                <w:sz w:val="18"/>
              </w:rPr>
              <w:t>345,3</w:t>
            </w:r>
          </w:p>
        </w:tc>
      </w:tr>
    </w:tbl>
    <w:p w:rsidR="0037320D" w:rsidRDefault="0037320D">
      <w:pPr>
        <w:spacing w:after="0"/>
      </w:pPr>
    </w:p>
    <w:p w:rsidR="0037320D" w:rsidRDefault="00536345">
      <w:r>
        <w:t>Potraživanja za upravne i administrativne pristojbe povećana su u odnosu na početak razdoblja, a odnose se na dopunsko osiguranje.</w:t>
      </w:r>
    </w:p>
    <w:p w:rsidR="0037320D" w:rsidRDefault="0037320D"/>
    <w:p w:rsidR="0037320D" w:rsidRDefault="00536345">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166</w:t>
            </w:r>
          </w:p>
        </w:tc>
        <w:tc>
          <w:tcPr>
            <w:tcW w:w="3180" w:type="dxa"/>
            <w:tcMar>
              <w:top w:w="0" w:type="dxa"/>
              <w:bottom w:w="0" w:type="dxa"/>
            </w:tcMar>
            <w:vAlign w:val="center"/>
          </w:tcPr>
          <w:p w:rsidR="0037320D" w:rsidRDefault="00536345">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37320D" w:rsidRDefault="00536345">
            <w:pPr>
              <w:keepNext/>
              <w:keepLines/>
              <w:spacing w:after="0" w:line="240" w:lineRule="auto"/>
            </w:pPr>
            <w:r>
              <w:rPr>
                <w:sz w:val="18"/>
              </w:rPr>
              <w:t>166</w:t>
            </w:r>
          </w:p>
        </w:tc>
        <w:tc>
          <w:tcPr>
            <w:tcW w:w="1860" w:type="dxa"/>
            <w:tcMar>
              <w:top w:w="0" w:type="dxa"/>
              <w:bottom w:w="0" w:type="dxa"/>
            </w:tcMar>
            <w:vAlign w:val="center"/>
          </w:tcPr>
          <w:p w:rsidR="0037320D" w:rsidRDefault="00536345">
            <w:pPr>
              <w:keepNext/>
              <w:keepLines/>
              <w:spacing w:after="0" w:line="240" w:lineRule="auto"/>
              <w:jc w:val="right"/>
            </w:pPr>
            <w:r>
              <w:rPr>
                <w:sz w:val="18"/>
              </w:rPr>
              <w:t>23.145,02</w:t>
            </w:r>
          </w:p>
        </w:tc>
        <w:tc>
          <w:tcPr>
            <w:tcW w:w="1860" w:type="dxa"/>
            <w:tcMar>
              <w:top w:w="0" w:type="dxa"/>
              <w:bottom w:w="0" w:type="dxa"/>
            </w:tcMar>
            <w:vAlign w:val="center"/>
          </w:tcPr>
          <w:p w:rsidR="0037320D" w:rsidRDefault="00536345">
            <w:pPr>
              <w:keepNext/>
              <w:keepLines/>
              <w:spacing w:after="0" w:line="240" w:lineRule="auto"/>
              <w:jc w:val="right"/>
            </w:pPr>
            <w:r>
              <w:rPr>
                <w:sz w:val="18"/>
              </w:rPr>
              <w:t>18.994,45</w:t>
            </w:r>
          </w:p>
        </w:tc>
        <w:tc>
          <w:tcPr>
            <w:tcW w:w="700" w:type="dxa"/>
            <w:tcMar>
              <w:top w:w="0" w:type="dxa"/>
              <w:bottom w:w="0" w:type="dxa"/>
            </w:tcMar>
            <w:vAlign w:val="center"/>
          </w:tcPr>
          <w:p w:rsidR="0037320D" w:rsidRDefault="00536345">
            <w:pPr>
              <w:keepNext/>
              <w:keepLines/>
              <w:spacing w:after="0" w:line="240" w:lineRule="auto"/>
              <w:jc w:val="right"/>
            </w:pPr>
            <w:r>
              <w:rPr>
                <w:sz w:val="18"/>
              </w:rPr>
              <w:t>82,1</w:t>
            </w:r>
          </w:p>
        </w:tc>
      </w:tr>
    </w:tbl>
    <w:p w:rsidR="0037320D" w:rsidRDefault="0037320D">
      <w:pPr>
        <w:spacing w:after="0"/>
      </w:pPr>
    </w:p>
    <w:p w:rsidR="0037320D" w:rsidRDefault="00536345">
      <w:r>
        <w:t xml:space="preserve">Potraživanja za prihode od </w:t>
      </w:r>
      <w:r>
        <w:t>prodaje proizvoda i usluga u iznosu od 18.994,45 EUR smanjena su u odnosu na početak razdoblja za 10,9%, a odnose se na:</w:t>
      </w:r>
    </w:p>
    <w:p w:rsidR="0037320D" w:rsidRDefault="00536345">
      <w:pPr>
        <w:pStyle w:val="Odlomakpopisa"/>
        <w:numPr>
          <w:ilvl w:val="0"/>
          <w:numId w:val="1"/>
        </w:numPr>
      </w:pPr>
      <w:r>
        <w:t xml:space="preserve">potraživanja za prihode od pružanja zdravstvenih usluga koje plaćaju pacijenti koji nemaju zdravstveno osiguranje ili imaju osiguranje </w:t>
      </w:r>
      <w:r>
        <w:t>preko drugih zdravstvenih zavoda i agencija u iznosu od 1.462,97 EUR</w:t>
      </w:r>
    </w:p>
    <w:p w:rsidR="0037320D" w:rsidRDefault="00536345">
      <w:pPr>
        <w:pStyle w:val="Odlomakpopisa"/>
        <w:numPr>
          <w:ilvl w:val="0"/>
          <w:numId w:val="1"/>
        </w:numPr>
      </w:pPr>
      <w:r>
        <w:t>potraživanja od Ministarstva zdravstva za pružanje usluga azilantima i tražiteljima azila, te državljanima Ukrajine u iznosu od 15.779,47 EUR</w:t>
      </w:r>
    </w:p>
    <w:p w:rsidR="0037320D" w:rsidRDefault="00536345">
      <w:pPr>
        <w:pStyle w:val="Odlomakpopisa"/>
        <w:numPr>
          <w:ilvl w:val="0"/>
          <w:numId w:val="1"/>
        </w:numPr>
      </w:pPr>
      <w:r>
        <w:t>potraživanja od Centra za odgoj i obrazovanje</w:t>
      </w:r>
      <w:r>
        <w:t xml:space="preserve"> Goljak za sufinanciranje prehrane djece i učenika, koja su ujedno na bolničkoj medicinskoj rehabilitaciji u Bolnici u iznosu od 1.592,01 EUR</w:t>
      </w:r>
    </w:p>
    <w:p w:rsidR="0037320D" w:rsidRDefault="00536345">
      <w:pPr>
        <w:pStyle w:val="Odlomakpopisa"/>
        <w:numPr>
          <w:ilvl w:val="0"/>
          <w:numId w:val="1"/>
        </w:numPr>
      </w:pPr>
      <w:r>
        <w:t>potraživanja za prihode od ustupanja dijela prostora za postavljanje caffe aparata o čemu je sklopljen ugovor u iz</w:t>
      </w:r>
      <w:r>
        <w:t>nosu od 160,00 EUR</w:t>
      </w:r>
    </w:p>
    <w:p w:rsidR="0037320D" w:rsidRDefault="0037320D"/>
    <w:p w:rsidR="0037320D" w:rsidRDefault="00536345">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167</w:t>
            </w:r>
          </w:p>
        </w:tc>
        <w:tc>
          <w:tcPr>
            <w:tcW w:w="3180" w:type="dxa"/>
            <w:tcMar>
              <w:top w:w="0" w:type="dxa"/>
              <w:bottom w:w="0" w:type="dxa"/>
            </w:tcMar>
            <w:vAlign w:val="center"/>
          </w:tcPr>
          <w:p w:rsidR="0037320D" w:rsidRDefault="00536345">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37320D" w:rsidRDefault="00536345">
            <w:pPr>
              <w:keepNext/>
              <w:keepLines/>
              <w:spacing w:after="0" w:line="240" w:lineRule="auto"/>
            </w:pPr>
            <w:r>
              <w:rPr>
                <w:sz w:val="18"/>
              </w:rPr>
              <w:t>167</w:t>
            </w:r>
          </w:p>
        </w:tc>
        <w:tc>
          <w:tcPr>
            <w:tcW w:w="1860" w:type="dxa"/>
            <w:tcMar>
              <w:top w:w="0" w:type="dxa"/>
              <w:bottom w:w="0" w:type="dxa"/>
            </w:tcMar>
            <w:vAlign w:val="center"/>
          </w:tcPr>
          <w:p w:rsidR="0037320D" w:rsidRDefault="00536345">
            <w:pPr>
              <w:keepNext/>
              <w:keepLines/>
              <w:spacing w:after="0" w:line="240" w:lineRule="auto"/>
              <w:jc w:val="right"/>
            </w:pPr>
            <w:r>
              <w:rPr>
                <w:sz w:val="18"/>
              </w:rPr>
              <w:t>1.794.753,20</w:t>
            </w:r>
          </w:p>
        </w:tc>
        <w:tc>
          <w:tcPr>
            <w:tcW w:w="1860" w:type="dxa"/>
            <w:tcMar>
              <w:top w:w="0" w:type="dxa"/>
              <w:bottom w:w="0" w:type="dxa"/>
            </w:tcMar>
            <w:vAlign w:val="center"/>
          </w:tcPr>
          <w:p w:rsidR="0037320D" w:rsidRDefault="00536345">
            <w:pPr>
              <w:keepNext/>
              <w:keepLines/>
              <w:spacing w:after="0" w:line="240" w:lineRule="auto"/>
              <w:jc w:val="right"/>
            </w:pPr>
            <w:r>
              <w:rPr>
                <w:sz w:val="18"/>
              </w:rPr>
              <w:t>1.795.277,81</w:t>
            </w:r>
          </w:p>
        </w:tc>
        <w:tc>
          <w:tcPr>
            <w:tcW w:w="700" w:type="dxa"/>
            <w:tcMar>
              <w:top w:w="0" w:type="dxa"/>
              <w:bottom w:w="0" w:type="dxa"/>
            </w:tcMar>
            <w:vAlign w:val="center"/>
          </w:tcPr>
          <w:p w:rsidR="0037320D" w:rsidRDefault="00536345">
            <w:pPr>
              <w:keepNext/>
              <w:keepLines/>
              <w:spacing w:after="0" w:line="240" w:lineRule="auto"/>
              <w:jc w:val="right"/>
            </w:pPr>
            <w:r>
              <w:rPr>
                <w:sz w:val="18"/>
              </w:rPr>
              <w:t>100,0</w:t>
            </w:r>
          </w:p>
        </w:tc>
      </w:tr>
    </w:tbl>
    <w:p w:rsidR="0037320D" w:rsidRDefault="0037320D">
      <w:pPr>
        <w:spacing w:after="0"/>
      </w:pPr>
    </w:p>
    <w:p w:rsidR="0037320D" w:rsidRDefault="00536345">
      <w:r>
        <w:t>Potraživanja proračunskih korisnika za sredstva uplaćena u nadležni proračun i za prihode od HZZO-a na temelju ugovornih obveza u iznosu od 1.795.277,81 EUR obuhvaćaju iznos potraživanja prema HZZO-u za više fakturiran</w:t>
      </w:r>
      <w:r>
        <w:t>u realizaciju u odnosu na odobreni limit za:</w:t>
      </w:r>
    </w:p>
    <w:p w:rsidR="0037320D" w:rsidRDefault="00536345">
      <w:pPr>
        <w:pStyle w:val="Odlomakpopisa"/>
        <w:numPr>
          <w:ilvl w:val="0"/>
          <w:numId w:val="1"/>
        </w:numPr>
      </w:pPr>
      <w:r>
        <w:t>2015. godinu u iznosu od 238.780,19 EUR</w:t>
      </w:r>
    </w:p>
    <w:p w:rsidR="0037320D" w:rsidRDefault="00536345">
      <w:pPr>
        <w:pStyle w:val="Odlomakpopisa"/>
        <w:numPr>
          <w:ilvl w:val="0"/>
          <w:numId w:val="1"/>
        </w:numPr>
      </w:pPr>
      <w:r>
        <w:t>2016. godinu u iznosu od 1.011.601,24 EUR</w:t>
      </w:r>
    </w:p>
    <w:p w:rsidR="0037320D" w:rsidRDefault="00536345">
      <w:pPr>
        <w:pStyle w:val="Odlomakpopisa"/>
        <w:numPr>
          <w:ilvl w:val="0"/>
          <w:numId w:val="1"/>
        </w:numPr>
      </w:pPr>
      <w:r>
        <w:t>2017. godinu u iznosu od 428.059,20 EUR</w:t>
      </w:r>
    </w:p>
    <w:p w:rsidR="0037320D" w:rsidRDefault="00536345">
      <w:pPr>
        <w:pStyle w:val="Odlomakpopisa"/>
        <w:numPr>
          <w:ilvl w:val="0"/>
          <w:numId w:val="1"/>
        </w:numPr>
      </w:pPr>
      <w:r>
        <w:t>2019. godinu u iznosu od 113.746,05 EUR</w:t>
      </w:r>
    </w:p>
    <w:p w:rsidR="0037320D" w:rsidRDefault="00536345">
      <w:pPr>
        <w:pStyle w:val="Odlomakpopisa"/>
        <w:numPr>
          <w:ilvl w:val="0"/>
          <w:numId w:val="1"/>
        </w:numPr>
      </w:pPr>
      <w:r>
        <w:t>2025. godinu u iznosu od 1.352,81 EUR</w:t>
      </w:r>
    </w:p>
    <w:p w:rsidR="0037320D" w:rsidRDefault="00536345">
      <w:pPr>
        <w:pStyle w:val="Odlomakpopisa"/>
        <w:numPr>
          <w:ilvl w:val="0"/>
          <w:numId w:val="1"/>
        </w:numPr>
      </w:pPr>
      <w:r>
        <w:t xml:space="preserve">kao i </w:t>
      </w:r>
      <w:r>
        <w:t>potraživanja za usluge izvan limita u iznosu od  1.738,32 EUR</w:t>
      </w:r>
    </w:p>
    <w:p w:rsidR="0037320D" w:rsidRDefault="0037320D"/>
    <w:p w:rsidR="0037320D" w:rsidRDefault="00536345">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168</w:t>
            </w:r>
          </w:p>
        </w:tc>
        <w:tc>
          <w:tcPr>
            <w:tcW w:w="3180" w:type="dxa"/>
            <w:tcMar>
              <w:top w:w="0" w:type="dxa"/>
              <w:bottom w:w="0" w:type="dxa"/>
            </w:tcMar>
            <w:vAlign w:val="center"/>
          </w:tcPr>
          <w:p w:rsidR="0037320D" w:rsidRDefault="00536345">
            <w:pPr>
              <w:keepNext/>
              <w:keepLines/>
              <w:spacing w:after="0" w:line="240" w:lineRule="auto"/>
            </w:pPr>
            <w:r>
              <w:rPr>
                <w:sz w:val="18"/>
              </w:rPr>
              <w:t>Potraživanja za kazne i upravne mjere te ostale prihode</w:t>
            </w:r>
          </w:p>
        </w:tc>
        <w:tc>
          <w:tcPr>
            <w:tcW w:w="700" w:type="dxa"/>
            <w:tcMar>
              <w:top w:w="0" w:type="dxa"/>
              <w:bottom w:w="0" w:type="dxa"/>
            </w:tcMar>
            <w:vAlign w:val="center"/>
          </w:tcPr>
          <w:p w:rsidR="0037320D" w:rsidRDefault="00536345">
            <w:pPr>
              <w:keepNext/>
              <w:keepLines/>
              <w:spacing w:after="0" w:line="240" w:lineRule="auto"/>
            </w:pPr>
            <w:r>
              <w:rPr>
                <w:sz w:val="18"/>
              </w:rPr>
              <w:t>168</w:t>
            </w:r>
          </w:p>
        </w:tc>
        <w:tc>
          <w:tcPr>
            <w:tcW w:w="1860" w:type="dxa"/>
            <w:tcMar>
              <w:top w:w="0" w:type="dxa"/>
              <w:bottom w:w="0" w:type="dxa"/>
            </w:tcMar>
            <w:vAlign w:val="center"/>
          </w:tcPr>
          <w:p w:rsidR="0037320D" w:rsidRDefault="00536345">
            <w:pPr>
              <w:keepNext/>
              <w:keepLines/>
              <w:spacing w:after="0" w:line="240" w:lineRule="auto"/>
              <w:jc w:val="right"/>
            </w:pPr>
            <w:r>
              <w:rPr>
                <w:sz w:val="18"/>
              </w:rPr>
              <w:t>24.744,05</w:t>
            </w:r>
          </w:p>
        </w:tc>
        <w:tc>
          <w:tcPr>
            <w:tcW w:w="1860" w:type="dxa"/>
            <w:tcMar>
              <w:top w:w="0" w:type="dxa"/>
              <w:bottom w:w="0" w:type="dxa"/>
            </w:tcMar>
            <w:vAlign w:val="center"/>
          </w:tcPr>
          <w:p w:rsidR="0037320D" w:rsidRDefault="00536345">
            <w:pPr>
              <w:keepNext/>
              <w:keepLines/>
              <w:spacing w:after="0" w:line="240" w:lineRule="auto"/>
              <w:jc w:val="right"/>
            </w:pPr>
            <w:r>
              <w:rPr>
                <w:sz w:val="18"/>
              </w:rPr>
              <w:t>24.744,05</w:t>
            </w:r>
          </w:p>
        </w:tc>
        <w:tc>
          <w:tcPr>
            <w:tcW w:w="700" w:type="dxa"/>
            <w:tcMar>
              <w:top w:w="0" w:type="dxa"/>
              <w:bottom w:w="0" w:type="dxa"/>
            </w:tcMar>
            <w:vAlign w:val="center"/>
          </w:tcPr>
          <w:p w:rsidR="0037320D" w:rsidRDefault="00536345">
            <w:pPr>
              <w:keepNext/>
              <w:keepLines/>
              <w:spacing w:after="0" w:line="240" w:lineRule="auto"/>
              <w:jc w:val="right"/>
            </w:pPr>
            <w:r>
              <w:rPr>
                <w:sz w:val="18"/>
              </w:rPr>
              <w:t>100</w:t>
            </w:r>
          </w:p>
        </w:tc>
      </w:tr>
    </w:tbl>
    <w:p w:rsidR="0037320D" w:rsidRDefault="0037320D">
      <w:pPr>
        <w:spacing w:after="0"/>
      </w:pPr>
    </w:p>
    <w:p w:rsidR="0037320D" w:rsidRDefault="00536345">
      <w:r>
        <w:t>Potraživanja za kazne i upravne mjere te ostale prihode odnose se na pravomoćnu sudsku presudu, a koju Bolnica do danas nije realizirala.</w:t>
      </w:r>
    </w:p>
    <w:p w:rsidR="0037320D" w:rsidRDefault="0037320D"/>
    <w:p w:rsidR="0037320D" w:rsidRDefault="00536345">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169</w:t>
            </w:r>
          </w:p>
        </w:tc>
        <w:tc>
          <w:tcPr>
            <w:tcW w:w="3180" w:type="dxa"/>
            <w:tcMar>
              <w:top w:w="0" w:type="dxa"/>
              <w:bottom w:w="0" w:type="dxa"/>
            </w:tcMar>
            <w:vAlign w:val="center"/>
          </w:tcPr>
          <w:p w:rsidR="0037320D" w:rsidRDefault="00536345">
            <w:pPr>
              <w:keepNext/>
              <w:keepLines/>
              <w:spacing w:after="0" w:line="240" w:lineRule="auto"/>
            </w:pPr>
            <w:r>
              <w:rPr>
                <w:sz w:val="18"/>
              </w:rPr>
              <w:t xml:space="preserve">Ispravak </w:t>
            </w:r>
            <w:r>
              <w:rPr>
                <w:sz w:val="18"/>
              </w:rPr>
              <w:t>vrijednosti potraživanja</w:t>
            </w:r>
          </w:p>
        </w:tc>
        <w:tc>
          <w:tcPr>
            <w:tcW w:w="700" w:type="dxa"/>
            <w:tcMar>
              <w:top w:w="0" w:type="dxa"/>
              <w:bottom w:w="0" w:type="dxa"/>
            </w:tcMar>
            <w:vAlign w:val="center"/>
          </w:tcPr>
          <w:p w:rsidR="0037320D" w:rsidRDefault="00536345">
            <w:pPr>
              <w:keepNext/>
              <w:keepLines/>
              <w:spacing w:after="0" w:line="240" w:lineRule="auto"/>
            </w:pPr>
            <w:r>
              <w:rPr>
                <w:sz w:val="18"/>
              </w:rPr>
              <w:t>169</w:t>
            </w:r>
          </w:p>
        </w:tc>
        <w:tc>
          <w:tcPr>
            <w:tcW w:w="1860" w:type="dxa"/>
            <w:tcMar>
              <w:top w:w="0" w:type="dxa"/>
              <w:bottom w:w="0" w:type="dxa"/>
            </w:tcMar>
            <w:vAlign w:val="center"/>
          </w:tcPr>
          <w:p w:rsidR="0037320D" w:rsidRDefault="00536345">
            <w:pPr>
              <w:keepNext/>
              <w:keepLines/>
              <w:spacing w:after="0" w:line="240" w:lineRule="auto"/>
              <w:jc w:val="right"/>
            </w:pPr>
            <w:r>
              <w:rPr>
                <w:sz w:val="18"/>
              </w:rPr>
              <w:t>1.735.313,65</w:t>
            </w:r>
          </w:p>
        </w:tc>
        <w:tc>
          <w:tcPr>
            <w:tcW w:w="1860" w:type="dxa"/>
            <w:tcMar>
              <w:top w:w="0" w:type="dxa"/>
              <w:bottom w:w="0" w:type="dxa"/>
            </w:tcMar>
            <w:vAlign w:val="center"/>
          </w:tcPr>
          <w:p w:rsidR="0037320D" w:rsidRDefault="00536345">
            <w:pPr>
              <w:keepNext/>
              <w:keepLines/>
              <w:spacing w:after="0" w:line="240" w:lineRule="auto"/>
              <w:jc w:val="right"/>
            </w:pPr>
            <w:r>
              <w:rPr>
                <w:sz w:val="18"/>
              </w:rPr>
              <w:t>1.735.313,65</w:t>
            </w:r>
          </w:p>
        </w:tc>
        <w:tc>
          <w:tcPr>
            <w:tcW w:w="700" w:type="dxa"/>
            <w:tcMar>
              <w:top w:w="0" w:type="dxa"/>
              <w:bottom w:w="0" w:type="dxa"/>
            </w:tcMar>
            <w:vAlign w:val="center"/>
          </w:tcPr>
          <w:p w:rsidR="0037320D" w:rsidRDefault="00536345">
            <w:pPr>
              <w:keepNext/>
              <w:keepLines/>
              <w:spacing w:after="0" w:line="240" w:lineRule="auto"/>
              <w:jc w:val="right"/>
            </w:pPr>
            <w:r>
              <w:rPr>
                <w:sz w:val="18"/>
              </w:rPr>
              <w:t>100</w:t>
            </w:r>
          </w:p>
        </w:tc>
      </w:tr>
    </w:tbl>
    <w:p w:rsidR="0037320D" w:rsidRDefault="0037320D">
      <w:pPr>
        <w:spacing w:after="0"/>
      </w:pPr>
    </w:p>
    <w:p w:rsidR="0037320D" w:rsidRDefault="00536345">
      <w:r>
        <w:t>Napravljen je ispravak potraživanja u 2024. godini starijih od tri godine koji do sada nije proveden, a odnosi se na više fakturirane usluge u odnosu na ugovoreni limit u 2015., 2016. i 2017. god</w:t>
      </w:r>
      <w:r>
        <w:t>ini od Hrvatskog zavoda za zdravstveno osiguranje.</w:t>
      </w:r>
    </w:p>
    <w:p w:rsidR="0037320D" w:rsidRDefault="0037320D"/>
    <w:p w:rsidR="0037320D" w:rsidRDefault="00536345">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231</w:t>
            </w:r>
          </w:p>
        </w:tc>
        <w:tc>
          <w:tcPr>
            <w:tcW w:w="3180" w:type="dxa"/>
            <w:tcMar>
              <w:top w:w="0" w:type="dxa"/>
              <w:bottom w:w="0" w:type="dxa"/>
            </w:tcMar>
            <w:vAlign w:val="center"/>
          </w:tcPr>
          <w:p w:rsidR="0037320D" w:rsidRDefault="00536345">
            <w:pPr>
              <w:keepNext/>
              <w:keepLines/>
              <w:spacing w:after="0" w:line="240" w:lineRule="auto"/>
            </w:pPr>
            <w:r>
              <w:rPr>
                <w:sz w:val="18"/>
              </w:rPr>
              <w:t>Obveze za zaposlene</w:t>
            </w:r>
          </w:p>
        </w:tc>
        <w:tc>
          <w:tcPr>
            <w:tcW w:w="700" w:type="dxa"/>
            <w:tcMar>
              <w:top w:w="0" w:type="dxa"/>
              <w:bottom w:w="0" w:type="dxa"/>
            </w:tcMar>
            <w:vAlign w:val="center"/>
          </w:tcPr>
          <w:p w:rsidR="0037320D" w:rsidRDefault="00536345">
            <w:pPr>
              <w:keepNext/>
              <w:keepLines/>
              <w:spacing w:after="0" w:line="240" w:lineRule="auto"/>
            </w:pPr>
            <w:r>
              <w:rPr>
                <w:sz w:val="18"/>
              </w:rPr>
              <w:t>231</w:t>
            </w:r>
          </w:p>
        </w:tc>
        <w:tc>
          <w:tcPr>
            <w:tcW w:w="1860" w:type="dxa"/>
            <w:tcMar>
              <w:top w:w="0" w:type="dxa"/>
              <w:bottom w:w="0" w:type="dxa"/>
            </w:tcMar>
            <w:vAlign w:val="center"/>
          </w:tcPr>
          <w:p w:rsidR="0037320D" w:rsidRDefault="00536345">
            <w:pPr>
              <w:keepNext/>
              <w:keepLines/>
              <w:spacing w:after="0" w:line="240" w:lineRule="auto"/>
              <w:jc w:val="right"/>
            </w:pPr>
            <w:r>
              <w:rPr>
                <w:sz w:val="18"/>
              </w:rPr>
              <w:t>568.227,01</w:t>
            </w:r>
          </w:p>
        </w:tc>
        <w:tc>
          <w:tcPr>
            <w:tcW w:w="1860" w:type="dxa"/>
            <w:tcMar>
              <w:top w:w="0" w:type="dxa"/>
              <w:bottom w:w="0" w:type="dxa"/>
            </w:tcMar>
            <w:vAlign w:val="center"/>
          </w:tcPr>
          <w:p w:rsidR="0037320D" w:rsidRDefault="00536345">
            <w:pPr>
              <w:keepNext/>
              <w:keepLines/>
              <w:spacing w:after="0" w:line="240" w:lineRule="auto"/>
              <w:jc w:val="right"/>
            </w:pPr>
            <w:r>
              <w:rPr>
                <w:sz w:val="18"/>
              </w:rPr>
              <w:t>606.675,95</w:t>
            </w:r>
          </w:p>
        </w:tc>
        <w:tc>
          <w:tcPr>
            <w:tcW w:w="700" w:type="dxa"/>
            <w:tcMar>
              <w:top w:w="0" w:type="dxa"/>
              <w:bottom w:w="0" w:type="dxa"/>
            </w:tcMar>
            <w:vAlign w:val="center"/>
          </w:tcPr>
          <w:p w:rsidR="0037320D" w:rsidRDefault="00536345">
            <w:pPr>
              <w:keepNext/>
              <w:keepLines/>
              <w:spacing w:after="0" w:line="240" w:lineRule="auto"/>
              <w:jc w:val="right"/>
            </w:pPr>
            <w:r>
              <w:rPr>
                <w:sz w:val="18"/>
              </w:rPr>
              <w:t>106,8</w:t>
            </w:r>
          </w:p>
        </w:tc>
      </w:tr>
    </w:tbl>
    <w:p w:rsidR="0037320D" w:rsidRDefault="0037320D">
      <w:pPr>
        <w:spacing w:after="0"/>
      </w:pPr>
    </w:p>
    <w:p w:rsidR="0037320D" w:rsidRDefault="00536345">
      <w:r>
        <w:t xml:space="preserve">Obveze za zaposlene u iznosu od 608.675,95 </w:t>
      </w:r>
      <w:r>
        <w:t>EUR povećane su za 6,8% u odnosu na početak razdoblja sukladno Odluci Vlade o povećanju osnovice za obračun plaće u javnim službama. Osnovice za obračun plaće tijekom 2025. godine rasla je u tri navrata, svaki puta za 3%. </w:t>
      </w:r>
    </w:p>
    <w:p w:rsidR="0037320D" w:rsidRDefault="0037320D"/>
    <w:p w:rsidR="0037320D" w:rsidRDefault="00536345">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2343</w:t>
            </w:r>
          </w:p>
        </w:tc>
        <w:tc>
          <w:tcPr>
            <w:tcW w:w="3180" w:type="dxa"/>
            <w:tcMar>
              <w:top w:w="0" w:type="dxa"/>
              <w:bottom w:w="0" w:type="dxa"/>
            </w:tcMar>
            <w:vAlign w:val="center"/>
          </w:tcPr>
          <w:p w:rsidR="0037320D" w:rsidRDefault="00536345">
            <w:pPr>
              <w:keepNext/>
              <w:keepLines/>
              <w:spacing w:after="0" w:line="240" w:lineRule="auto"/>
            </w:pPr>
            <w:r>
              <w:rPr>
                <w:sz w:val="18"/>
              </w:rPr>
              <w:t>Obveze za ostale financijske rashode</w:t>
            </w:r>
          </w:p>
        </w:tc>
        <w:tc>
          <w:tcPr>
            <w:tcW w:w="700" w:type="dxa"/>
            <w:tcMar>
              <w:top w:w="0" w:type="dxa"/>
              <w:bottom w:w="0" w:type="dxa"/>
            </w:tcMar>
            <w:vAlign w:val="center"/>
          </w:tcPr>
          <w:p w:rsidR="0037320D" w:rsidRDefault="00536345">
            <w:pPr>
              <w:keepNext/>
              <w:keepLines/>
              <w:spacing w:after="0" w:line="240" w:lineRule="auto"/>
            </w:pPr>
            <w:r>
              <w:rPr>
                <w:sz w:val="18"/>
              </w:rPr>
              <w:t>2343</w:t>
            </w:r>
          </w:p>
        </w:tc>
        <w:tc>
          <w:tcPr>
            <w:tcW w:w="1860" w:type="dxa"/>
            <w:tcMar>
              <w:top w:w="0" w:type="dxa"/>
              <w:bottom w:w="0" w:type="dxa"/>
            </w:tcMar>
            <w:vAlign w:val="center"/>
          </w:tcPr>
          <w:p w:rsidR="0037320D" w:rsidRDefault="00536345">
            <w:pPr>
              <w:keepNext/>
              <w:keepLines/>
              <w:spacing w:after="0" w:line="240" w:lineRule="auto"/>
              <w:jc w:val="right"/>
            </w:pPr>
            <w:r>
              <w:rPr>
                <w:sz w:val="18"/>
              </w:rPr>
              <w:t>492,57</w:t>
            </w:r>
          </w:p>
        </w:tc>
        <w:tc>
          <w:tcPr>
            <w:tcW w:w="1860" w:type="dxa"/>
            <w:tcMar>
              <w:top w:w="0" w:type="dxa"/>
              <w:bottom w:w="0" w:type="dxa"/>
            </w:tcMar>
            <w:vAlign w:val="center"/>
          </w:tcPr>
          <w:p w:rsidR="0037320D" w:rsidRDefault="00536345">
            <w:pPr>
              <w:keepNext/>
              <w:keepLines/>
              <w:spacing w:after="0" w:line="240" w:lineRule="auto"/>
              <w:jc w:val="right"/>
            </w:pPr>
            <w:r>
              <w:rPr>
                <w:sz w:val="18"/>
              </w:rPr>
              <w:t>272,00</w:t>
            </w:r>
          </w:p>
        </w:tc>
        <w:tc>
          <w:tcPr>
            <w:tcW w:w="700" w:type="dxa"/>
            <w:tcMar>
              <w:top w:w="0" w:type="dxa"/>
              <w:bottom w:w="0" w:type="dxa"/>
            </w:tcMar>
            <w:vAlign w:val="center"/>
          </w:tcPr>
          <w:p w:rsidR="0037320D" w:rsidRDefault="00536345">
            <w:pPr>
              <w:keepNext/>
              <w:keepLines/>
              <w:spacing w:after="0" w:line="240" w:lineRule="auto"/>
              <w:jc w:val="right"/>
            </w:pPr>
            <w:r>
              <w:rPr>
                <w:sz w:val="18"/>
              </w:rPr>
              <w:t>55,2</w:t>
            </w:r>
          </w:p>
        </w:tc>
      </w:tr>
    </w:tbl>
    <w:p w:rsidR="0037320D" w:rsidRDefault="0037320D">
      <w:pPr>
        <w:spacing w:after="0"/>
      </w:pPr>
    </w:p>
    <w:p w:rsidR="0037320D" w:rsidRDefault="00536345">
      <w:r>
        <w:t xml:space="preserve">Obveze za ostale financijske rashode su smanjene u odnosu na početak razdoblja za 44,8%, a odnose se na bankarske </w:t>
      </w:r>
      <w:r>
        <w:t>usluge.</w:t>
      </w:r>
    </w:p>
    <w:p w:rsidR="0037320D" w:rsidRDefault="0037320D"/>
    <w:p w:rsidR="0037320D" w:rsidRDefault="00536345">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27</w:t>
            </w:r>
          </w:p>
        </w:tc>
        <w:tc>
          <w:tcPr>
            <w:tcW w:w="3180" w:type="dxa"/>
            <w:tcMar>
              <w:top w:w="0" w:type="dxa"/>
              <w:bottom w:w="0" w:type="dxa"/>
            </w:tcMar>
            <w:vAlign w:val="center"/>
          </w:tcPr>
          <w:p w:rsidR="0037320D" w:rsidRDefault="00536345">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37320D" w:rsidRDefault="00536345">
            <w:pPr>
              <w:keepNext/>
              <w:keepLines/>
              <w:spacing w:after="0" w:line="240" w:lineRule="auto"/>
            </w:pPr>
            <w:r>
              <w:rPr>
                <w:sz w:val="18"/>
              </w:rPr>
              <w:t>27</w:t>
            </w:r>
          </w:p>
        </w:tc>
        <w:tc>
          <w:tcPr>
            <w:tcW w:w="1860" w:type="dxa"/>
            <w:tcMar>
              <w:top w:w="0" w:type="dxa"/>
              <w:bottom w:w="0" w:type="dxa"/>
            </w:tcMar>
            <w:vAlign w:val="center"/>
          </w:tcPr>
          <w:p w:rsidR="0037320D" w:rsidRDefault="00536345">
            <w:pPr>
              <w:keepNext/>
              <w:keepLines/>
              <w:spacing w:after="0" w:line="240" w:lineRule="auto"/>
              <w:jc w:val="right"/>
            </w:pPr>
            <w:r>
              <w:rPr>
                <w:sz w:val="18"/>
              </w:rPr>
              <w:t>1.896.635,82</w:t>
            </w:r>
          </w:p>
        </w:tc>
        <w:tc>
          <w:tcPr>
            <w:tcW w:w="1860" w:type="dxa"/>
            <w:tcMar>
              <w:top w:w="0" w:type="dxa"/>
              <w:bottom w:w="0" w:type="dxa"/>
            </w:tcMar>
            <w:vAlign w:val="center"/>
          </w:tcPr>
          <w:p w:rsidR="0037320D" w:rsidRDefault="00536345">
            <w:pPr>
              <w:keepNext/>
              <w:keepLines/>
              <w:spacing w:after="0" w:line="240" w:lineRule="auto"/>
              <w:jc w:val="right"/>
            </w:pPr>
            <w:r>
              <w:rPr>
                <w:sz w:val="18"/>
              </w:rPr>
              <w:t>2.545.281,59</w:t>
            </w:r>
          </w:p>
        </w:tc>
        <w:tc>
          <w:tcPr>
            <w:tcW w:w="700" w:type="dxa"/>
            <w:tcMar>
              <w:top w:w="0" w:type="dxa"/>
              <w:bottom w:w="0" w:type="dxa"/>
            </w:tcMar>
            <w:vAlign w:val="center"/>
          </w:tcPr>
          <w:p w:rsidR="0037320D" w:rsidRDefault="00536345">
            <w:pPr>
              <w:keepNext/>
              <w:keepLines/>
              <w:spacing w:after="0" w:line="240" w:lineRule="auto"/>
              <w:jc w:val="right"/>
            </w:pPr>
            <w:r>
              <w:rPr>
                <w:sz w:val="18"/>
              </w:rPr>
              <w:t>134,2</w:t>
            </w:r>
          </w:p>
        </w:tc>
      </w:tr>
    </w:tbl>
    <w:p w:rsidR="0037320D" w:rsidRDefault="0037320D">
      <w:pPr>
        <w:spacing w:after="0"/>
      </w:pPr>
    </w:p>
    <w:p w:rsidR="0037320D" w:rsidRDefault="00536345" w:rsidP="00877171">
      <w:pPr>
        <w:jc w:val="both"/>
      </w:pPr>
      <w:r>
        <w:t xml:space="preserve">Obveze za predujmove, depozite, jamčevne </w:t>
      </w:r>
      <w:r>
        <w:t>pologe i tuđe prihode povećane su za 34,2% u odnosu na početak razdoblja, a odnose se na:</w:t>
      </w:r>
    </w:p>
    <w:p w:rsidR="0037320D" w:rsidRDefault="00536345">
      <w:pPr>
        <w:pStyle w:val="Odlomakpopisa"/>
        <w:numPr>
          <w:ilvl w:val="0"/>
          <w:numId w:val="1"/>
        </w:numPr>
      </w:pPr>
      <w:r>
        <w:t>obveze Bolnice prema HZZO-u za manje izvršen rad u odnosu na ugovoreni limit sukladno Zapisniku HZZO-a o konačnom obračunu izvršenja rada i usklađenja u periodu od 20</w:t>
      </w:r>
      <w:r>
        <w:t>20. godine do 2025. godine u iznosu od 2.519.936,00 EUR</w:t>
      </w:r>
    </w:p>
    <w:p w:rsidR="0037320D" w:rsidRDefault="00536345">
      <w:pPr>
        <w:pStyle w:val="Odlomakpopisa"/>
        <w:numPr>
          <w:ilvl w:val="0"/>
          <w:numId w:val="1"/>
        </w:numPr>
      </w:pPr>
      <w:r>
        <w:t>obveze za jamčevine u iznosu od 9.274,65 EUR sukladno natječajnoj dokumentaciji i provedenom postupku javne nabave za medicinski uređaj</w:t>
      </w:r>
    </w:p>
    <w:p w:rsidR="0037320D" w:rsidRDefault="00536345">
      <w:pPr>
        <w:pStyle w:val="Odlomakpopisa"/>
        <w:numPr>
          <w:ilvl w:val="0"/>
          <w:numId w:val="1"/>
        </w:numPr>
      </w:pPr>
      <w:r>
        <w:t>obveze proračunskih korisnika za povrat u proračun u iznosu od 1</w:t>
      </w:r>
      <w:r>
        <w:t>6.070,94 EUR koje se odnose na neutrošena sredstva temeljem Ugovora o sufinanciranju troškova energije sklopljenog s Gradom Zagrebom</w:t>
      </w:r>
    </w:p>
    <w:p w:rsidR="00877171" w:rsidRDefault="00877171" w:rsidP="00877171">
      <w:pPr>
        <w:jc w:val="both"/>
      </w:pPr>
    </w:p>
    <w:p w:rsidR="0037320D" w:rsidRDefault="00536345" w:rsidP="00877171">
      <w:pPr>
        <w:jc w:val="both"/>
      </w:pPr>
      <w:r>
        <w:t>Obveza za manje izvršen rad u odnosu na ugovoreni limit s HZZO-om povećana je u izvještajnom razdoblju za 632.574,83 EUR.</w:t>
      </w:r>
    </w:p>
    <w:p w:rsidR="0037320D" w:rsidRDefault="0037320D" w:rsidP="00877171">
      <w:pPr>
        <w:jc w:val="both"/>
      </w:pPr>
    </w:p>
    <w:p w:rsidR="0037320D" w:rsidRDefault="00536345">
      <w:pPr>
        <w:keepNext/>
        <w:spacing w:line="240" w:lineRule="auto"/>
        <w:jc w:val="center"/>
      </w:pPr>
      <w:r>
        <w:rPr>
          <w:sz w:val="28"/>
        </w:rPr>
        <w:lastRenderedPageBreak/>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991</w:t>
            </w:r>
          </w:p>
        </w:tc>
        <w:tc>
          <w:tcPr>
            <w:tcW w:w="3180" w:type="dxa"/>
            <w:tcMar>
              <w:top w:w="0" w:type="dxa"/>
              <w:bottom w:w="0" w:type="dxa"/>
            </w:tcMar>
            <w:vAlign w:val="center"/>
          </w:tcPr>
          <w:p w:rsidR="0037320D" w:rsidRDefault="00536345">
            <w:pPr>
              <w:keepNext/>
              <w:keepLines/>
              <w:spacing w:after="0" w:line="240" w:lineRule="auto"/>
            </w:pPr>
            <w:r>
              <w:rPr>
                <w:sz w:val="18"/>
              </w:rPr>
              <w:t>Izvanbilančni zapisi - aktiva (šifra 996)</w:t>
            </w:r>
          </w:p>
        </w:tc>
        <w:tc>
          <w:tcPr>
            <w:tcW w:w="700" w:type="dxa"/>
            <w:tcMar>
              <w:top w:w="0" w:type="dxa"/>
              <w:bottom w:w="0" w:type="dxa"/>
            </w:tcMar>
            <w:vAlign w:val="center"/>
          </w:tcPr>
          <w:p w:rsidR="0037320D" w:rsidRDefault="00536345">
            <w:pPr>
              <w:keepNext/>
              <w:keepLines/>
              <w:spacing w:after="0" w:line="240" w:lineRule="auto"/>
            </w:pPr>
            <w:r>
              <w:rPr>
                <w:sz w:val="18"/>
              </w:rPr>
              <w:t>991</w:t>
            </w:r>
          </w:p>
        </w:tc>
        <w:tc>
          <w:tcPr>
            <w:tcW w:w="1860" w:type="dxa"/>
            <w:tcMar>
              <w:top w:w="0" w:type="dxa"/>
              <w:bottom w:w="0" w:type="dxa"/>
            </w:tcMar>
            <w:vAlign w:val="center"/>
          </w:tcPr>
          <w:p w:rsidR="0037320D" w:rsidRDefault="00536345">
            <w:pPr>
              <w:keepNext/>
              <w:keepLines/>
              <w:spacing w:after="0" w:line="240" w:lineRule="auto"/>
              <w:jc w:val="right"/>
            </w:pPr>
            <w:r>
              <w:rPr>
                <w:sz w:val="18"/>
              </w:rPr>
              <w:t>561.912,34</w:t>
            </w:r>
          </w:p>
        </w:tc>
        <w:tc>
          <w:tcPr>
            <w:tcW w:w="1860" w:type="dxa"/>
            <w:tcMar>
              <w:top w:w="0" w:type="dxa"/>
              <w:bottom w:w="0" w:type="dxa"/>
            </w:tcMar>
            <w:vAlign w:val="center"/>
          </w:tcPr>
          <w:p w:rsidR="0037320D" w:rsidRDefault="00536345">
            <w:pPr>
              <w:keepNext/>
              <w:keepLines/>
              <w:spacing w:after="0" w:line="240" w:lineRule="auto"/>
              <w:jc w:val="right"/>
            </w:pPr>
            <w:r>
              <w:rPr>
                <w:sz w:val="18"/>
              </w:rPr>
              <w:t>555.070,41</w:t>
            </w:r>
          </w:p>
        </w:tc>
        <w:tc>
          <w:tcPr>
            <w:tcW w:w="700" w:type="dxa"/>
            <w:tcMar>
              <w:top w:w="0" w:type="dxa"/>
              <w:bottom w:w="0" w:type="dxa"/>
            </w:tcMar>
            <w:vAlign w:val="center"/>
          </w:tcPr>
          <w:p w:rsidR="0037320D" w:rsidRDefault="00536345">
            <w:pPr>
              <w:keepNext/>
              <w:keepLines/>
              <w:spacing w:after="0" w:line="240" w:lineRule="auto"/>
              <w:jc w:val="right"/>
            </w:pPr>
            <w:r>
              <w:rPr>
                <w:sz w:val="18"/>
              </w:rPr>
              <w:t>98,8</w:t>
            </w:r>
          </w:p>
        </w:tc>
      </w:tr>
    </w:tbl>
    <w:p w:rsidR="0037320D" w:rsidRDefault="0037320D">
      <w:pPr>
        <w:spacing w:after="0"/>
      </w:pPr>
    </w:p>
    <w:p w:rsidR="0037320D" w:rsidRDefault="00536345" w:rsidP="00877171">
      <w:pPr>
        <w:jc w:val="both"/>
      </w:pPr>
      <w:r>
        <w:t xml:space="preserve">Tuđa imovinu na korištenju (Uređaj za rehabilitaciju pacijenata s </w:t>
      </w:r>
      <w:r>
        <w:t>hipoksijsko-ishemijskim oštećenjem mozga – Uređaj za robotski potpomognuti trening hodanja (Lokomat)) dobiven od Medicinskog fakulteta u iznosu od 497.282,50 EUR</w:t>
      </w:r>
    </w:p>
    <w:p w:rsidR="0037320D" w:rsidRDefault="00536345">
      <w:r>
        <w:t>Potencijalne obveze po osnovi sudskih sporova u iznosu od 57.787,91 EUR </w:t>
      </w:r>
    </w:p>
    <w:p w:rsidR="0037320D" w:rsidRDefault="00536345" w:rsidP="00877171">
      <w:pPr>
        <w:jc w:val="both"/>
      </w:pPr>
      <w:r>
        <w:t>Potencijalne obveze p</w:t>
      </w:r>
      <w:r>
        <w:t>o osnovi sudskih sporova smanjene su jer je određeni broj sudskih presuda koje su postale pravomoćne isplaćen u 2025. godini.</w:t>
      </w:r>
    </w:p>
    <w:p w:rsidR="0037320D" w:rsidRDefault="00536345">
      <w:r>
        <w:t>Popis sudskih sporova u tijeku: </w:t>
      </w:r>
    </w:p>
    <w:p w:rsidR="0037320D" w:rsidRDefault="00536345">
      <w:pPr>
        <w:pStyle w:val="Odlomakpopisa"/>
        <w:numPr>
          <w:ilvl w:val="0"/>
          <w:numId w:val="2"/>
        </w:numPr>
      </w:pPr>
      <w:r>
        <w:t xml:space="preserve">Pr-647/2020, Radni spor radi isplate krivo obračunatih prekovremenih sati, VPS 56.287,91 EUR, </w:t>
      </w:r>
      <w:r>
        <w:t>Procijenjeno vrijeme odljeva sredstava - 2026. </w:t>
      </w:r>
    </w:p>
    <w:p w:rsidR="0037320D" w:rsidRDefault="00536345">
      <w:pPr>
        <w:pStyle w:val="Odlomakpopisa"/>
        <w:numPr>
          <w:ilvl w:val="0"/>
          <w:numId w:val="2"/>
        </w:numPr>
      </w:pPr>
      <w:r>
        <w:t>Pr-511/2022, Radni spor – utvrđenje nedopuštenosti Odluke o izvanrednom otkazu ugovora o radu, VPS 750,00 EUR, Procijenjeno vrijeme odljeva sredstava - 2026. godina</w:t>
      </w:r>
    </w:p>
    <w:p w:rsidR="0037320D" w:rsidRDefault="00536345">
      <w:pPr>
        <w:pStyle w:val="Odlomakpopisa"/>
        <w:numPr>
          <w:ilvl w:val="0"/>
          <w:numId w:val="2"/>
        </w:numPr>
      </w:pPr>
      <w:r>
        <w:t>Pr-655/22, Radni spor – utvrđenje nedopušte</w:t>
      </w:r>
      <w:r>
        <w:t>nosti Odluke o izvanrednom otkazu ugovora o radu, VPS 750,00 EUR, Procijenjeno vrijeme odljeva sredstava - 2026. godina</w:t>
      </w:r>
    </w:p>
    <w:p w:rsidR="0037320D" w:rsidRDefault="0037320D"/>
    <w:p w:rsidR="0037320D" w:rsidRDefault="00536345">
      <w:pPr>
        <w:keepNext/>
        <w:spacing w:line="240" w:lineRule="auto"/>
        <w:jc w:val="center"/>
      </w:pPr>
      <w:r>
        <w:rPr>
          <w:b/>
          <w:sz w:val="28"/>
        </w:rPr>
        <w:t>Izvještaj o rashodima prema funkcijskoj klasifikaciji</w:t>
      </w:r>
    </w:p>
    <w:p w:rsidR="0037320D" w:rsidRDefault="00536345">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 xml:space="preserve">Ostvareno u izvještajnom </w:t>
            </w:r>
            <w:r>
              <w:rPr>
                <w:b/>
                <w:sz w:val="18"/>
              </w:rPr>
              <w:t>razdoblju prethodne godine</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0732</w:t>
            </w:r>
          </w:p>
        </w:tc>
        <w:tc>
          <w:tcPr>
            <w:tcW w:w="3180" w:type="dxa"/>
            <w:tcMar>
              <w:top w:w="0" w:type="dxa"/>
              <w:bottom w:w="0" w:type="dxa"/>
            </w:tcMar>
            <w:vAlign w:val="center"/>
          </w:tcPr>
          <w:p w:rsidR="0037320D" w:rsidRDefault="00536345">
            <w:pPr>
              <w:keepNext/>
              <w:keepLines/>
              <w:spacing w:after="0" w:line="240" w:lineRule="auto"/>
            </w:pPr>
            <w:r>
              <w:rPr>
                <w:sz w:val="18"/>
              </w:rPr>
              <w:t>Usluge specijalističkih bolnica</w:t>
            </w:r>
          </w:p>
        </w:tc>
        <w:tc>
          <w:tcPr>
            <w:tcW w:w="700" w:type="dxa"/>
            <w:tcMar>
              <w:top w:w="0" w:type="dxa"/>
              <w:bottom w:w="0" w:type="dxa"/>
            </w:tcMar>
            <w:vAlign w:val="center"/>
          </w:tcPr>
          <w:p w:rsidR="0037320D" w:rsidRDefault="00536345">
            <w:pPr>
              <w:keepNext/>
              <w:keepLines/>
              <w:spacing w:after="0" w:line="240" w:lineRule="auto"/>
            </w:pPr>
            <w:r>
              <w:rPr>
                <w:sz w:val="18"/>
              </w:rPr>
              <w:t>0732</w:t>
            </w:r>
          </w:p>
        </w:tc>
        <w:tc>
          <w:tcPr>
            <w:tcW w:w="1860" w:type="dxa"/>
            <w:tcMar>
              <w:top w:w="0" w:type="dxa"/>
              <w:bottom w:w="0" w:type="dxa"/>
            </w:tcMar>
            <w:vAlign w:val="center"/>
          </w:tcPr>
          <w:p w:rsidR="0037320D" w:rsidRDefault="00536345">
            <w:pPr>
              <w:keepNext/>
              <w:keepLines/>
              <w:spacing w:after="0" w:line="240" w:lineRule="auto"/>
              <w:jc w:val="right"/>
            </w:pPr>
            <w:r>
              <w:rPr>
                <w:sz w:val="18"/>
              </w:rPr>
              <w:t>8.164.740,87</w:t>
            </w:r>
          </w:p>
        </w:tc>
        <w:tc>
          <w:tcPr>
            <w:tcW w:w="1860" w:type="dxa"/>
            <w:tcMar>
              <w:top w:w="0" w:type="dxa"/>
              <w:bottom w:w="0" w:type="dxa"/>
            </w:tcMar>
            <w:vAlign w:val="center"/>
          </w:tcPr>
          <w:p w:rsidR="0037320D" w:rsidRDefault="00536345">
            <w:pPr>
              <w:keepNext/>
              <w:keepLines/>
              <w:spacing w:after="0" w:line="240" w:lineRule="auto"/>
              <w:jc w:val="right"/>
            </w:pPr>
            <w:r>
              <w:rPr>
                <w:sz w:val="18"/>
              </w:rPr>
              <w:t>8.310.839,53</w:t>
            </w:r>
          </w:p>
        </w:tc>
        <w:tc>
          <w:tcPr>
            <w:tcW w:w="700" w:type="dxa"/>
            <w:tcMar>
              <w:top w:w="0" w:type="dxa"/>
              <w:bottom w:w="0" w:type="dxa"/>
            </w:tcMar>
            <w:vAlign w:val="center"/>
          </w:tcPr>
          <w:p w:rsidR="0037320D" w:rsidRDefault="00536345">
            <w:pPr>
              <w:keepNext/>
              <w:keepLines/>
              <w:spacing w:after="0" w:line="240" w:lineRule="auto"/>
              <w:jc w:val="right"/>
            </w:pPr>
            <w:r>
              <w:rPr>
                <w:sz w:val="18"/>
              </w:rPr>
              <w:t>101,8</w:t>
            </w:r>
          </w:p>
        </w:tc>
      </w:tr>
    </w:tbl>
    <w:p w:rsidR="0037320D" w:rsidRDefault="0037320D">
      <w:pPr>
        <w:spacing w:after="0"/>
      </w:pPr>
    </w:p>
    <w:p w:rsidR="0037320D" w:rsidRDefault="00536345" w:rsidP="00877171">
      <w:pPr>
        <w:jc w:val="both"/>
      </w:pPr>
      <w:r>
        <w:t xml:space="preserve">Prema funkcijskoj klasifikaciji razvrstavaju se rashodi poslovanja i rashodi za nabavu </w:t>
      </w:r>
      <w:r>
        <w:t>nefinancijske imovine. Specijalna bolnica za zaštitu djece s neurorazvojnim i motoričkim smetnjama je rashode poslovanja i rashode za nabavu nefinancijske imovine razvrstala je u Zdravstvo – Usluge specijalističkih bolnica u iznosu od 8.310.839,53 EUR i ve</w:t>
      </w:r>
      <w:r>
        <w:t>ći su za 1,8% zbog porasta cijena roba i usluga, kao i rashoda za zaposlene. </w:t>
      </w:r>
    </w:p>
    <w:p w:rsidR="0037320D" w:rsidRDefault="0037320D" w:rsidP="00877171">
      <w:pPr>
        <w:jc w:val="both"/>
      </w:pPr>
    </w:p>
    <w:p w:rsidR="0037320D" w:rsidRDefault="00536345">
      <w:pPr>
        <w:keepNext/>
        <w:spacing w:line="240" w:lineRule="auto"/>
        <w:jc w:val="center"/>
      </w:pPr>
      <w:r>
        <w:rPr>
          <w:b/>
          <w:sz w:val="28"/>
        </w:rPr>
        <w:lastRenderedPageBreak/>
        <w:t>Promjene u vrijednosti i obujmu imovine i obveza</w:t>
      </w:r>
    </w:p>
    <w:p w:rsidR="0037320D" w:rsidRDefault="00536345">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700"/>
        <w:gridCol w:w="3180"/>
        <w:gridCol w:w="700"/>
        <w:gridCol w:w="1860"/>
        <w:gridCol w:w="1860"/>
        <w:gridCol w:w="700"/>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sz w:val="18"/>
              </w:rPr>
              <w:t>Proizvedena dugotrajna imovina</w:t>
            </w:r>
          </w:p>
        </w:tc>
        <w:tc>
          <w:tcPr>
            <w:tcW w:w="700" w:type="dxa"/>
            <w:tcMar>
              <w:top w:w="0" w:type="dxa"/>
              <w:bottom w:w="0" w:type="dxa"/>
            </w:tcMar>
            <w:vAlign w:val="center"/>
          </w:tcPr>
          <w:p w:rsidR="0037320D" w:rsidRDefault="00536345">
            <w:pPr>
              <w:keepNext/>
              <w:keepLines/>
              <w:spacing w:after="0" w:line="240" w:lineRule="auto"/>
            </w:pPr>
            <w:r>
              <w:rPr>
                <w:sz w:val="18"/>
              </w:rPr>
              <w:t>P003</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1860" w:type="dxa"/>
            <w:tcMar>
              <w:top w:w="0" w:type="dxa"/>
              <w:bottom w:w="0" w:type="dxa"/>
            </w:tcMar>
            <w:vAlign w:val="center"/>
          </w:tcPr>
          <w:p w:rsidR="0037320D" w:rsidRDefault="00536345">
            <w:pPr>
              <w:keepNext/>
              <w:keepLines/>
              <w:spacing w:after="0" w:line="240" w:lineRule="auto"/>
              <w:jc w:val="right"/>
            </w:pPr>
            <w:r>
              <w:rPr>
                <w:sz w:val="18"/>
              </w:rPr>
              <w:t>232.929,18</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sidP="00877171">
      <w:pPr>
        <w:jc w:val="both"/>
      </w:pPr>
      <w:r>
        <w:t>Proizvedena dugotrajna imovina – smanjenje u iznosu od 232.929,18 EUR odnosi se provedeni ispravak vrijednosti (amortizacija) proizvedene dugotrajne imovine.  </w:t>
      </w:r>
    </w:p>
    <w:p w:rsidR="00877171" w:rsidRDefault="00536345" w:rsidP="00877171">
      <w:r>
        <w:t> </w:t>
      </w:r>
    </w:p>
    <w:p w:rsidR="0037320D" w:rsidRDefault="00536345" w:rsidP="00877171">
      <w:pPr>
        <w:jc w:val="center"/>
      </w:pPr>
      <w:r>
        <w:rPr>
          <w:b/>
          <w:sz w:val="28"/>
        </w:rPr>
        <w:t>Izvještaj o obvezama</w:t>
      </w:r>
    </w:p>
    <w:p w:rsidR="0037320D" w:rsidRDefault="00536345">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883"/>
        <w:gridCol w:w="4008"/>
        <w:gridCol w:w="882"/>
        <w:gridCol w:w="2345"/>
        <w:gridCol w:w="882"/>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37320D" w:rsidRDefault="00536345">
            <w:pPr>
              <w:keepNext/>
              <w:keepLines/>
              <w:spacing w:after="0" w:line="240" w:lineRule="auto"/>
            </w:pPr>
            <w:r>
              <w:rPr>
                <w:sz w:val="18"/>
              </w:rPr>
              <w:t>V006</w:t>
            </w:r>
          </w:p>
        </w:tc>
        <w:tc>
          <w:tcPr>
            <w:tcW w:w="1860" w:type="dxa"/>
            <w:tcMar>
              <w:top w:w="0" w:type="dxa"/>
              <w:bottom w:w="0" w:type="dxa"/>
            </w:tcMar>
            <w:vAlign w:val="center"/>
          </w:tcPr>
          <w:p w:rsidR="0037320D" w:rsidRDefault="00536345">
            <w:pPr>
              <w:keepNext/>
              <w:keepLines/>
              <w:spacing w:after="0" w:line="240" w:lineRule="auto"/>
              <w:jc w:val="right"/>
            </w:pPr>
            <w:r>
              <w:rPr>
                <w:sz w:val="18"/>
              </w:rPr>
              <w:t>3.171.728,11</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sidP="00877171">
      <w:pPr>
        <w:jc w:val="both"/>
      </w:pPr>
      <w:r>
        <w:t xml:space="preserve">Stanje nedospjelih obveza na kraju izvještajnog razdoblja u iznosu od  3.171.728,11 EUR odnosi se najvećim dijelom na </w:t>
      </w:r>
      <w:r>
        <w:t xml:space="preserve">obvezu Bolnice prema HZZO-u za manje izvršen rad u odnosu na ugovoreni limit za 2020., 2021., 2022., 2023., 2024. i 2025. godinu, a prema Zapisniku o usklađenju stanja predujmova od HZZO-a one iznose 2.519.936,00 EUR, zatim na obveze za zaposlene u iznosu </w:t>
      </w:r>
      <w:r>
        <w:t>od 606.675,95, odnosno na plaće za zaposlene budući se plaća za koju je iskazana obveza u prosincu 2025. godine isplaćuje u siječnju 2026. godine, te na obveze za materijalne rashode u iznosu od 19.498,57 EUR, obveze za financijske rashode u iznosu od 272,</w:t>
      </w:r>
      <w:r>
        <w:t>00 EUR, obveze za jamčevine u iznosu od 9.274,65 EUR i obveze proračunskih korisnika za povrat u proračun u iznosu od 16.070,94 EUR.  </w:t>
      </w:r>
    </w:p>
    <w:p w:rsidR="0037320D" w:rsidRDefault="0037320D"/>
    <w:p w:rsidR="0037320D" w:rsidRDefault="00536345">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883"/>
        <w:gridCol w:w="4008"/>
        <w:gridCol w:w="882"/>
        <w:gridCol w:w="2345"/>
        <w:gridCol w:w="882"/>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sz w:val="18"/>
              </w:rPr>
              <w:t xml:space="preserve">Stanje dospjelih obveza na kraju izvještajnog </w:t>
            </w:r>
            <w:r>
              <w:rPr>
                <w:sz w:val="18"/>
              </w:rPr>
              <w:t>razdoblja (šifre V008+D23+D24 + 'D dio 25,26' + D27)</w:t>
            </w:r>
          </w:p>
        </w:tc>
        <w:tc>
          <w:tcPr>
            <w:tcW w:w="700" w:type="dxa"/>
            <w:tcMar>
              <w:top w:w="0" w:type="dxa"/>
              <w:bottom w:w="0" w:type="dxa"/>
            </w:tcMar>
            <w:vAlign w:val="center"/>
          </w:tcPr>
          <w:p w:rsidR="0037320D" w:rsidRDefault="00536345">
            <w:pPr>
              <w:keepNext/>
              <w:keepLines/>
              <w:spacing w:after="0" w:line="240" w:lineRule="auto"/>
            </w:pPr>
            <w:r>
              <w:rPr>
                <w:sz w:val="18"/>
              </w:rPr>
              <w:t>V007</w:t>
            </w:r>
          </w:p>
        </w:tc>
        <w:tc>
          <w:tcPr>
            <w:tcW w:w="1860" w:type="dxa"/>
            <w:tcMar>
              <w:top w:w="0" w:type="dxa"/>
              <w:bottom w:w="0" w:type="dxa"/>
            </w:tcMar>
            <w:vAlign w:val="center"/>
          </w:tcPr>
          <w:p w:rsidR="0037320D" w:rsidRDefault="00536345">
            <w:pPr>
              <w:keepNext/>
              <w:keepLines/>
              <w:spacing w:after="0" w:line="240" w:lineRule="auto"/>
              <w:jc w:val="right"/>
            </w:pPr>
            <w:r>
              <w:rPr>
                <w:sz w:val="18"/>
              </w:rPr>
              <w:t>0,00</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sidP="00877171">
      <w:pPr>
        <w:jc w:val="both"/>
      </w:pPr>
      <w:r>
        <w:t xml:space="preserve">Specijalna bolnica za zaštitu djece s neurorazvojnim i motoričkim smetnjama </w:t>
      </w:r>
      <w:r>
        <w:rPr>
          <w:b/>
        </w:rPr>
        <w:t>na dan 31.12.2025. godine nema dospjelih obveza.  </w:t>
      </w:r>
    </w:p>
    <w:p w:rsidR="0037320D" w:rsidRDefault="0037320D" w:rsidP="00877171">
      <w:pPr>
        <w:jc w:val="both"/>
      </w:pPr>
    </w:p>
    <w:p w:rsidR="0037320D" w:rsidRDefault="00536345">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883"/>
        <w:gridCol w:w="4008"/>
        <w:gridCol w:w="882"/>
        <w:gridCol w:w="2345"/>
        <w:gridCol w:w="882"/>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37320D">
            <w:pPr>
              <w:keepNext/>
              <w:keepLines/>
              <w:spacing w:after="0" w:line="240" w:lineRule="auto"/>
            </w:pPr>
          </w:p>
        </w:tc>
        <w:tc>
          <w:tcPr>
            <w:tcW w:w="3180" w:type="dxa"/>
            <w:tcMar>
              <w:top w:w="0" w:type="dxa"/>
              <w:bottom w:w="0" w:type="dxa"/>
            </w:tcMar>
            <w:vAlign w:val="center"/>
          </w:tcPr>
          <w:p w:rsidR="0037320D" w:rsidRDefault="00536345">
            <w:pPr>
              <w:keepNext/>
              <w:keepLines/>
              <w:spacing w:after="0" w:line="240" w:lineRule="auto"/>
            </w:pPr>
            <w:r>
              <w:rPr>
                <w:sz w:val="18"/>
              </w:rPr>
              <w:t>Međusobne obveze subjekata općeg proračuna</w:t>
            </w:r>
          </w:p>
        </w:tc>
        <w:tc>
          <w:tcPr>
            <w:tcW w:w="700" w:type="dxa"/>
            <w:tcMar>
              <w:top w:w="0" w:type="dxa"/>
              <w:bottom w:w="0" w:type="dxa"/>
            </w:tcMar>
            <w:vAlign w:val="center"/>
          </w:tcPr>
          <w:p w:rsidR="0037320D" w:rsidRDefault="00536345">
            <w:pPr>
              <w:keepNext/>
              <w:keepLines/>
              <w:spacing w:after="0" w:line="240" w:lineRule="auto"/>
            </w:pPr>
            <w:r>
              <w:rPr>
                <w:sz w:val="18"/>
              </w:rPr>
              <w:t>V010</w:t>
            </w:r>
          </w:p>
        </w:tc>
        <w:tc>
          <w:tcPr>
            <w:tcW w:w="1860" w:type="dxa"/>
            <w:tcMar>
              <w:top w:w="0" w:type="dxa"/>
              <w:bottom w:w="0" w:type="dxa"/>
            </w:tcMar>
            <w:vAlign w:val="center"/>
          </w:tcPr>
          <w:p w:rsidR="0037320D" w:rsidRDefault="00536345">
            <w:pPr>
              <w:keepNext/>
              <w:keepLines/>
              <w:spacing w:after="0" w:line="240" w:lineRule="auto"/>
              <w:jc w:val="right"/>
            </w:pPr>
            <w:r>
              <w:rPr>
                <w:sz w:val="18"/>
              </w:rPr>
              <w:t>16.070,94</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sidP="00877171">
      <w:pPr>
        <w:jc w:val="both"/>
      </w:pPr>
      <w:r>
        <w:t xml:space="preserve">Međusobne obveze subjekata općeg proračuna u iznosu od 16.070,94 EUR odnose se na obveze za povrat u proračun neutrošenih sredstva temeljem Ugovora o sufinanciranju troškova </w:t>
      </w:r>
      <w:r>
        <w:t>energije sklopljenog s Gradom Zagrebom.</w:t>
      </w:r>
    </w:p>
    <w:p w:rsidR="0037320D" w:rsidRDefault="0037320D"/>
    <w:p w:rsidR="0037320D" w:rsidRDefault="00536345">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tblPr>
      <w:tblGrid>
        <w:gridCol w:w="883"/>
        <w:gridCol w:w="4008"/>
        <w:gridCol w:w="882"/>
        <w:gridCol w:w="2345"/>
        <w:gridCol w:w="882"/>
      </w:tblGrid>
      <w:tr w:rsidR="0037320D">
        <w:trPr>
          <w:cantSplit/>
        </w:trPr>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37320D" w:rsidRDefault="00536345">
            <w:pPr>
              <w:keepNext/>
              <w:keepLines/>
              <w:spacing w:after="0" w:line="240" w:lineRule="auto"/>
              <w:jc w:val="center"/>
            </w:pPr>
            <w:r>
              <w:rPr>
                <w:b/>
                <w:sz w:val="18"/>
              </w:rPr>
              <w:t>Indeks (%)</w:t>
            </w:r>
          </w:p>
        </w:tc>
      </w:tr>
      <w:tr w:rsidR="0037320D">
        <w:trPr>
          <w:cantSplit/>
          <w:trHeight w:val="560"/>
        </w:trPr>
        <w:tc>
          <w:tcPr>
            <w:tcW w:w="700" w:type="dxa"/>
            <w:tcMar>
              <w:top w:w="0" w:type="dxa"/>
              <w:bottom w:w="0" w:type="dxa"/>
            </w:tcMar>
            <w:vAlign w:val="center"/>
          </w:tcPr>
          <w:p w:rsidR="0037320D" w:rsidRDefault="00536345">
            <w:pPr>
              <w:keepNext/>
              <w:keepLines/>
              <w:spacing w:after="0" w:line="240" w:lineRule="auto"/>
            </w:pPr>
            <w:r>
              <w:rPr>
                <w:sz w:val="18"/>
              </w:rPr>
              <w:t>27</w:t>
            </w:r>
          </w:p>
        </w:tc>
        <w:tc>
          <w:tcPr>
            <w:tcW w:w="3180" w:type="dxa"/>
            <w:tcMar>
              <w:top w:w="0" w:type="dxa"/>
              <w:bottom w:w="0" w:type="dxa"/>
            </w:tcMar>
            <w:vAlign w:val="center"/>
          </w:tcPr>
          <w:p w:rsidR="0037320D" w:rsidRDefault="00536345">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rsidR="0037320D" w:rsidRDefault="00536345">
            <w:pPr>
              <w:keepNext/>
              <w:keepLines/>
              <w:spacing w:after="0" w:line="240" w:lineRule="auto"/>
            </w:pPr>
            <w:r>
              <w:rPr>
                <w:sz w:val="18"/>
              </w:rPr>
              <w:t>ND27</w:t>
            </w:r>
          </w:p>
        </w:tc>
        <w:tc>
          <w:tcPr>
            <w:tcW w:w="1860" w:type="dxa"/>
            <w:tcMar>
              <w:top w:w="0" w:type="dxa"/>
              <w:bottom w:w="0" w:type="dxa"/>
            </w:tcMar>
            <w:vAlign w:val="center"/>
          </w:tcPr>
          <w:p w:rsidR="0037320D" w:rsidRDefault="00536345">
            <w:pPr>
              <w:keepNext/>
              <w:keepLines/>
              <w:spacing w:after="0" w:line="240" w:lineRule="auto"/>
              <w:jc w:val="right"/>
            </w:pPr>
            <w:r>
              <w:rPr>
                <w:sz w:val="18"/>
              </w:rPr>
              <w:t>2.529.210,65</w:t>
            </w:r>
          </w:p>
        </w:tc>
        <w:tc>
          <w:tcPr>
            <w:tcW w:w="700" w:type="dxa"/>
            <w:tcMar>
              <w:top w:w="0" w:type="dxa"/>
              <w:bottom w:w="0" w:type="dxa"/>
            </w:tcMar>
            <w:vAlign w:val="center"/>
          </w:tcPr>
          <w:p w:rsidR="0037320D" w:rsidRDefault="00536345">
            <w:pPr>
              <w:keepNext/>
              <w:keepLines/>
              <w:spacing w:after="0" w:line="240" w:lineRule="auto"/>
              <w:jc w:val="right"/>
            </w:pPr>
            <w:r>
              <w:rPr>
                <w:sz w:val="18"/>
              </w:rPr>
              <w:t>-</w:t>
            </w:r>
          </w:p>
        </w:tc>
      </w:tr>
    </w:tbl>
    <w:p w:rsidR="0037320D" w:rsidRDefault="0037320D">
      <w:pPr>
        <w:spacing w:after="0"/>
      </w:pPr>
    </w:p>
    <w:p w:rsidR="0037320D" w:rsidRDefault="00536345" w:rsidP="00877171">
      <w:pPr>
        <w:jc w:val="both"/>
      </w:pPr>
      <w:r>
        <w:t xml:space="preserve">Obveze za predujmove, depozite, jamčevne pologe i tuđe </w:t>
      </w:r>
      <w:r>
        <w:t>prihode odnose se na obvezu Bolnice prema HZZO-u za manje izvršen rad u odnosu na ugovoreni limit za 2020., 2021., 2022., 2023., 2024. i 2025. godinu, a prema Zapisniku o usklađenju stanja predujmova od HZZO-a one iznose 2.519.936,00 EUR i obveze za jamčev</w:t>
      </w:r>
      <w:r>
        <w:t>ine u iznosu od 9.274,65 EUR sukladno natječajnoj dokumentaciji i provedenom postupku javne nabave za medicinski uređaj.  </w:t>
      </w:r>
    </w:p>
    <w:p w:rsidR="00E25524" w:rsidRDefault="00E25524" w:rsidP="00E25524">
      <w:pPr>
        <w:spacing w:after="0" w:line="240" w:lineRule="auto"/>
        <w:jc w:val="both"/>
        <w:rPr>
          <w:rFonts w:ascii="Arial" w:hAnsi="Arial" w:cs="Arial"/>
          <w:sz w:val="22"/>
          <w:szCs w:val="22"/>
        </w:rPr>
      </w:pPr>
    </w:p>
    <w:p w:rsidR="00E25524" w:rsidRDefault="00E25524" w:rsidP="00E25524">
      <w:pPr>
        <w:spacing w:after="0" w:line="240" w:lineRule="auto"/>
        <w:jc w:val="both"/>
        <w:rPr>
          <w:rFonts w:ascii="Arial" w:hAnsi="Arial" w:cs="Arial"/>
          <w:sz w:val="22"/>
          <w:szCs w:val="22"/>
        </w:rPr>
      </w:pPr>
    </w:p>
    <w:p w:rsidR="00E25524" w:rsidRDefault="00E25524" w:rsidP="00E25524">
      <w:pPr>
        <w:spacing w:after="0" w:line="240" w:lineRule="auto"/>
        <w:jc w:val="both"/>
        <w:rPr>
          <w:rFonts w:ascii="Arial" w:hAnsi="Arial" w:cs="Arial"/>
          <w:sz w:val="22"/>
          <w:szCs w:val="22"/>
        </w:rPr>
      </w:pPr>
    </w:p>
    <w:p w:rsidR="00E25524" w:rsidRDefault="00E25524" w:rsidP="00E25524">
      <w:pPr>
        <w:spacing w:after="0" w:line="240" w:lineRule="auto"/>
        <w:jc w:val="both"/>
        <w:rPr>
          <w:rFonts w:ascii="Arial" w:hAnsi="Arial" w:cs="Arial"/>
          <w:sz w:val="22"/>
          <w:szCs w:val="22"/>
        </w:rPr>
      </w:pPr>
    </w:p>
    <w:p w:rsidR="00E25524" w:rsidRDefault="00E25524" w:rsidP="00E25524">
      <w:pPr>
        <w:spacing w:after="0" w:line="240" w:lineRule="auto"/>
        <w:jc w:val="both"/>
        <w:rPr>
          <w:rFonts w:ascii="Arial" w:hAnsi="Arial" w:cs="Arial"/>
          <w:sz w:val="22"/>
          <w:szCs w:val="22"/>
        </w:rPr>
      </w:pPr>
    </w:p>
    <w:p w:rsidR="0037320D" w:rsidRPr="00DB0A84" w:rsidRDefault="0037320D">
      <w:pPr>
        <w:rPr>
          <w:szCs w:val="24"/>
        </w:rPr>
      </w:pPr>
    </w:p>
    <w:sectPr w:rsidR="0037320D" w:rsidRPr="00DB0A84" w:rsidSect="00DF35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B23"/>
    <w:multiLevelType w:val="hybridMultilevel"/>
    <w:tmpl w:val="C96E1328"/>
    <w:name w:val="disc"/>
    <w:lvl w:ilvl="0" w:tplc="549EA4BA">
      <w:start w:val="1"/>
      <w:numFmt w:val="bullet"/>
      <w:lvlText w:val="•"/>
      <w:lvlJc w:val="left"/>
      <w:pPr>
        <w:ind w:left="720" w:hanging="360"/>
      </w:pPr>
    </w:lvl>
    <w:lvl w:ilvl="1" w:tplc="F29861D6">
      <w:start w:val="1"/>
      <w:numFmt w:val="bullet"/>
      <w:lvlText w:val="•"/>
      <w:lvlJc w:val="left"/>
      <w:pPr>
        <w:ind w:left="1440" w:hanging="360"/>
      </w:pPr>
    </w:lvl>
    <w:lvl w:ilvl="2" w:tplc="E7EA97D2">
      <w:start w:val="1"/>
      <w:numFmt w:val="bullet"/>
      <w:lvlText w:val="•"/>
      <w:lvlJc w:val="left"/>
      <w:pPr>
        <w:ind w:left="2160" w:hanging="360"/>
      </w:pPr>
    </w:lvl>
    <w:lvl w:ilvl="3" w:tplc="FAC87058">
      <w:start w:val="1"/>
      <w:numFmt w:val="bullet"/>
      <w:lvlText w:val="•"/>
      <w:lvlJc w:val="left"/>
      <w:pPr>
        <w:ind w:left="2880" w:hanging="360"/>
      </w:pPr>
    </w:lvl>
    <w:lvl w:ilvl="4" w:tplc="634A9926">
      <w:start w:val="1"/>
      <w:numFmt w:val="bullet"/>
      <w:lvlText w:val="•"/>
      <w:lvlJc w:val="left"/>
      <w:pPr>
        <w:ind w:left="3600" w:hanging="360"/>
      </w:pPr>
    </w:lvl>
    <w:lvl w:ilvl="5" w:tplc="ECDAF51A">
      <w:start w:val="1"/>
      <w:numFmt w:val="bullet"/>
      <w:lvlText w:val="•"/>
      <w:lvlJc w:val="left"/>
      <w:pPr>
        <w:ind w:left="4320" w:hanging="360"/>
      </w:pPr>
    </w:lvl>
    <w:lvl w:ilvl="6" w:tplc="70FC001C">
      <w:start w:val="1"/>
      <w:numFmt w:val="bullet"/>
      <w:lvlText w:val="•"/>
      <w:lvlJc w:val="left"/>
      <w:pPr>
        <w:ind w:left="5040" w:hanging="360"/>
      </w:pPr>
    </w:lvl>
    <w:lvl w:ilvl="7" w:tplc="70C4AB74">
      <w:start w:val="1"/>
      <w:numFmt w:val="bullet"/>
      <w:lvlText w:val="•"/>
      <w:lvlJc w:val="left"/>
      <w:pPr>
        <w:ind w:left="5760" w:hanging="360"/>
      </w:pPr>
    </w:lvl>
    <w:lvl w:ilvl="8" w:tplc="19AC299C">
      <w:start w:val="1"/>
      <w:numFmt w:val="bullet"/>
      <w:lvlText w:val="•"/>
      <w:lvlJc w:val="left"/>
      <w:pPr>
        <w:ind w:left="6480" w:hanging="360"/>
      </w:pPr>
    </w:lvl>
  </w:abstractNum>
  <w:abstractNum w:abstractNumId="1">
    <w:nsid w:val="48C15C6A"/>
    <w:multiLevelType w:val="hybridMultilevel"/>
    <w:tmpl w:val="1F3468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7B8D1761"/>
    <w:multiLevelType w:val="hybridMultilevel"/>
    <w:tmpl w:val="3C3E8724"/>
    <w:name w:val="decimal"/>
    <w:lvl w:ilvl="0" w:tplc="0742D308">
      <w:start w:val="1"/>
      <w:numFmt w:val="decimal"/>
      <w:lvlText w:val="%1."/>
      <w:lvlJc w:val="left"/>
      <w:pPr>
        <w:ind w:left="720" w:hanging="360"/>
      </w:pPr>
    </w:lvl>
    <w:lvl w:ilvl="1" w:tplc="7870C39A">
      <w:start w:val="1"/>
      <w:numFmt w:val="decimal"/>
      <w:lvlText w:val="%2."/>
      <w:lvlJc w:val="left"/>
      <w:pPr>
        <w:ind w:left="1440" w:hanging="360"/>
      </w:pPr>
    </w:lvl>
    <w:lvl w:ilvl="2" w:tplc="6BDEA61E">
      <w:start w:val="1"/>
      <w:numFmt w:val="decimal"/>
      <w:lvlText w:val="%3."/>
      <w:lvlJc w:val="left"/>
      <w:pPr>
        <w:ind w:left="2160" w:hanging="360"/>
      </w:pPr>
    </w:lvl>
    <w:lvl w:ilvl="3" w:tplc="78F81D02">
      <w:start w:val="1"/>
      <w:numFmt w:val="decimal"/>
      <w:lvlText w:val="%4."/>
      <w:lvlJc w:val="left"/>
      <w:pPr>
        <w:ind w:left="2880" w:hanging="360"/>
      </w:pPr>
    </w:lvl>
    <w:lvl w:ilvl="4" w:tplc="329AABB6">
      <w:start w:val="1"/>
      <w:numFmt w:val="decimal"/>
      <w:lvlText w:val="%5."/>
      <w:lvlJc w:val="left"/>
      <w:pPr>
        <w:ind w:left="3600" w:hanging="360"/>
      </w:pPr>
    </w:lvl>
    <w:lvl w:ilvl="5" w:tplc="FACAB6AE">
      <w:start w:val="1"/>
      <w:numFmt w:val="decimal"/>
      <w:lvlText w:val="%6."/>
      <w:lvlJc w:val="left"/>
      <w:pPr>
        <w:ind w:left="4320" w:hanging="360"/>
      </w:pPr>
    </w:lvl>
    <w:lvl w:ilvl="6" w:tplc="AC06DE7C">
      <w:start w:val="1"/>
      <w:numFmt w:val="decimal"/>
      <w:lvlText w:val="%7."/>
      <w:lvlJc w:val="left"/>
      <w:pPr>
        <w:ind w:left="5040" w:hanging="360"/>
      </w:pPr>
    </w:lvl>
    <w:lvl w:ilvl="7" w:tplc="DCE85AFA">
      <w:start w:val="1"/>
      <w:numFmt w:val="decimal"/>
      <w:lvlText w:val="%8."/>
      <w:lvlJc w:val="left"/>
      <w:pPr>
        <w:ind w:left="5760" w:hanging="360"/>
      </w:pPr>
    </w:lvl>
    <w:lvl w:ilvl="8" w:tplc="8BF226C0">
      <w:start w:val="1"/>
      <w:numFmt w:val="decimal"/>
      <w:lvlText w:val="%9."/>
      <w:lvlJc w:val="left"/>
      <w:pPr>
        <w:ind w:left="6480" w:hanging="360"/>
      </w:pPr>
    </w:lvl>
  </w:abstractNum>
  <w:num w:numId="1">
    <w:abstractNumId w:val="0"/>
    <w:lvlOverride w:ilvl="0">
      <w:startOverride w:val="1"/>
    </w:lvlOverride>
  </w:num>
  <w:num w:numId="2">
    <w:abstractNumId w:val="2"/>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7320D"/>
    <w:rsid w:val="00267509"/>
    <w:rsid w:val="002E5B0E"/>
    <w:rsid w:val="0037320D"/>
    <w:rsid w:val="00536345"/>
    <w:rsid w:val="00877171"/>
    <w:rsid w:val="00DB0A84"/>
    <w:rsid w:val="00DF35A5"/>
    <w:rsid w:val="00E25524"/>
    <w:rsid w:val="00F07D15"/>
    <w:rsid w:val="00FF4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A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rsid w:val="00DF35A5"/>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4793</Words>
  <Characters>27321</Characters>
  <Application>Microsoft Office Word</Application>
  <DocSecurity>0</DocSecurity>
  <Lines>227</Lines>
  <Paragraphs>64</Paragraphs>
  <ScaleCrop>false</ScaleCrop>
  <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Milković</cp:lastModifiedBy>
  <cp:revision>6</cp:revision>
  <dcterms:created xsi:type="dcterms:W3CDTF">2026-02-02T11:46:00Z</dcterms:created>
  <dcterms:modified xsi:type="dcterms:W3CDTF">2026-02-09T09:38:00Z</dcterms:modified>
</cp:coreProperties>
</file>